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566622"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BE2A3F" w:rsidP="00AC4A99">
            <w:pPr>
              <w:jc w:val="center"/>
              <w:rPr>
                <w:b/>
                <w:szCs w:val="22"/>
              </w:rPr>
            </w:pPr>
            <w:r w:rsidRPr="00BE2A3F">
              <w:rPr>
                <w:b/>
                <w:szCs w:val="22"/>
              </w:rPr>
              <w:t xml:space="preserve"> </w:t>
            </w:r>
            <w:r w:rsidR="00B65997">
              <w:rPr>
                <w:b/>
                <w:szCs w:val="22"/>
              </w:rPr>
              <w:t xml:space="preserve">Planning </w:t>
            </w:r>
            <w:r w:rsidR="00EB2D32" w:rsidRPr="00BE2A3F">
              <w:rPr>
                <w:b/>
                <w:szCs w:val="22"/>
              </w:rPr>
              <w:t>Committee</w:t>
            </w:r>
          </w:p>
        </w:tc>
        <w:tc>
          <w:tcPr>
            <w:tcW w:w="2268" w:type="dxa"/>
            <w:gridSpan w:val="2"/>
            <w:tcBorders>
              <w:bottom w:val="nil"/>
            </w:tcBorders>
            <w:vAlign w:val="center"/>
          </w:tcPr>
          <w:p w:rsidR="002F5C5E" w:rsidRPr="00B65997" w:rsidRDefault="00B65997" w:rsidP="0047741D">
            <w:pPr>
              <w:jc w:val="center"/>
              <w:rPr>
                <w:b/>
              </w:rPr>
            </w:pPr>
            <w:r w:rsidRPr="00B65997">
              <w:t>7</w:t>
            </w:r>
            <w:r w:rsidR="00E82015">
              <w:rPr>
                <w:vertAlign w:val="superscript"/>
              </w:rPr>
              <w:t xml:space="preserve"> </w:t>
            </w:r>
            <w:r w:rsidRPr="00B65997">
              <w:t>November 2018</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E2B84" w:rsidRDefault="0047741D" w:rsidP="00E2196F">
            <w:pPr>
              <w:rPr>
                <w:b/>
              </w:rPr>
            </w:pPr>
          </w:p>
          <w:p w:rsidR="0047741D" w:rsidRPr="00B65997" w:rsidRDefault="00B65997" w:rsidP="00E2196F">
            <w:r>
              <w:t>Draft Masterplan – Pickering’s Farm, Penwortham</w:t>
            </w:r>
          </w:p>
          <w:p w:rsidR="0047741D" w:rsidRPr="009E2B84" w:rsidRDefault="0047741D" w:rsidP="00E2196F">
            <w:pPr>
              <w:jc w:val="center"/>
              <w:rPr>
                <w:b/>
              </w:rPr>
            </w:pPr>
          </w:p>
        </w:tc>
        <w:tc>
          <w:tcPr>
            <w:tcW w:w="2977" w:type="dxa"/>
            <w:gridSpan w:val="2"/>
            <w:vAlign w:val="center"/>
          </w:tcPr>
          <w:p w:rsidR="0047741D" w:rsidRPr="009E2B84" w:rsidRDefault="00E82015" w:rsidP="00C903AC">
            <w:pPr>
              <w:rPr>
                <w:i/>
              </w:rPr>
            </w:pPr>
            <w:r>
              <w:t>Director of Property and Planning</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E63940" w:rsidRDefault="00E63940" w:rsidP="00E63940">
            <w:pPr>
              <w:rPr>
                <w:b/>
                <w:szCs w:val="22"/>
              </w:rPr>
            </w:pPr>
          </w:p>
          <w:p w:rsidR="0047741D" w:rsidRPr="00F3057A" w:rsidRDefault="0047741D" w:rsidP="00E2196F">
            <w:pPr>
              <w:rPr>
                <w:b/>
                <w:szCs w:val="22"/>
              </w:rPr>
            </w:pPr>
            <w:r w:rsidRPr="00F3057A">
              <w:rPr>
                <w:b/>
                <w:szCs w:val="22"/>
              </w:rPr>
              <w:t xml:space="preserve">No </w:t>
            </w:r>
          </w:p>
          <w:p w:rsidR="0047741D" w:rsidRPr="009C1143" w:rsidRDefault="0047741D" w:rsidP="00B65997">
            <w:pPr>
              <w:rPr>
                <w:szCs w:val="22"/>
              </w:rPr>
            </w:pPr>
          </w:p>
        </w:tc>
      </w:tr>
    </w:tbl>
    <w:p w:rsidR="0047741D" w:rsidRDefault="0047741D" w:rsidP="002F5C5E">
      <w:pPr>
        <w:rPr>
          <w:sz w:val="16"/>
          <w:szCs w:val="16"/>
        </w:rPr>
      </w:pPr>
    </w:p>
    <w:p w:rsidR="00EB2D32" w:rsidRPr="009C1143" w:rsidRDefault="00EB2D32" w:rsidP="00B71A04">
      <w:pPr>
        <w:tabs>
          <w:tab w:val="left" w:pos="567"/>
        </w:tabs>
        <w:ind w:left="567" w:hanging="567"/>
        <w:rPr>
          <w:sz w:val="16"/>
          <w:szCs w:val="16"/>
        </w:rPr>
      </w:pPr>
    </w:p>
    <w:p w:rsidR="002F5C5E" w:rsidRDefault="002F5C5E" w:rsidP="00B71A04">
      <w:pPr>
        <w:keepNext/>
        <w:numPr>
          <w:ilvl w:val="0"/>
          <w:numId w:val="8"/>
        </w:numPr>
        <w:tabs>
          <w:tab w:val="left" w:pos="567"/>
        </w:tabs>
        <w:ind w:left="567" w:hanging="567"/>
        <w:outlineLvl w:val="0"/>
        <w:rPr>
          <w:b/>
          <w:szCs w:val="22"/>
        </w:rPr>
      </w:pPr>
      <w:r w:rsidRPr="009C1143">
        <w:rPr>
          <w:b/>
          <w:szCs w:val="22"/>
        </w:rPr>
        <w:t xml:space="preserve">PURPOSE OF THE REPORT  </w:t>
      </w:r>
    </w:p>
    <w:p w:rsidR="000B5251" w:rsidRDefault="000B5251" w:rsidP="00B71A04">
      <w:pPr>
        <w:keepNext/>
        <w:tabs>
          <w:tab w:val="left" w:pos="567"/>
        </w:tabs>
        <w:ind w:left="567" w:hanging="567"/>
        <w:outlineLvl w:val="0"/>
        <w:rPr>
          <w:b/>
          <w:szCs w:val="22"/>
        </w:rPr>
      </w:pPr>
    </w:p>
    <w:p w:rsidR="002F5C5E" w:rsidRPr="009C1143" w:rsidRDefault="00D956E6" w:rsidP="004865A0">
      <w:pPr>
        <w:keepNext/>
        <w:tabs>
          <w:tab w:val="left" w:pos="567"/>
        </w:tabs>
        <w:outlineLvl w:val="0"/>
        <w:rPr>
          <w:sz w:val="16"/>
          <w:szCs w:val="16"/>
        </w:rPr>
      </w:pPr>
      <w:r>
        <w:rPr>
          <w:szCs w:val="22"/>
        </w:rPr>
        <w:t>1.1</w:t>
      </w:r>
      <w:r>
        <w:rPr>
          <w:szCs w:val="22"/>
        </w:rPr>
        <w:tab/>
        <w:t xml:space="preserve">A Draft Masterplan has been prepared by Taylor Wimpey and Homes England for the site known as Pickering’s Farm, Penwortham.  The site is allocated in the South Ribble Local </w:t>
      </w:r>
      <w:r w:rsidR="00C50EB2">
        <w:rPr>
          <w:szCs w:val="22"/>
        </w:rPr>
        <w:t xml:space="preserve">Plan </w:t>
      </w:r>
      <w:r>
        <w:rPr>
          <w:szCs w:val="22"/>
        </w:rPr>
        <w:t xml:space="preserve">under Policy C1 for </w:t>
      </w:r>
      <w:r w:rsidR="004865A0">
        <w:rPr>
          <w:szCs w:val="22"/>
        </w:rPr>
        <w:t>a range of land uses including residential, employment and commercial uses together with Green Infrastructure and community facilities.</w:t>
      </w:r>
      <w:r>
        <w:rPr>
          <w:szCs w:val="22"/>
        </w:rPr>
        <w:t xml:space="preserve">  The policy requires that a Masterplan for the comprehensive development of the site is agreed.  The Draft Masterplan that has been prepared provides the broad principles of the development of this site and therefore the </w:t>
      </w:r>
      <w:r w:rsidR="00722A86">
        <w:rPr>
          <w:szCs w:val="22"/>
        </w:rPr>
        <w:t xml:space="preserve">purpose of this report is to seek the </w:t>
      </w:r>
      <w:r>
        <w:rPr>
          <w:szCs w:val="22"/>
        </w:rPr>
        <w:t xml:space="preserve">endorsement of </w:t>
      </w:r>
      <w:r w:rsidR="00722A86">
        <w:rPr>
          <w:szCs w:val="22"/>
        </w:rPr>
        <w:t xml:space="preserve">the Planning </w:t>
      </w:r>
      <w:r w:rsidR="00D83A33">
        <w:rPr>
          <w:szCs w:val="22"/>
        </w:rPr>
        <w:t xml:space="preserve">Committee for </w:t>
      </w:r>
      <w:r w:rsidR="00BD4A5F">
        <w:rPr>
          <w:szCs w:val="22"/>
        </w:rPr>
        <w:t>formal</w:t>
      </w:r>
      <w:r>
        <w:rPr>
          <w:szCs w:val="22"/>
        </w:rPr>
        <w:t xml:space="preserve"> six week public consultation </w:t>
      </w:r>
      <w:r w:rsidR="004865A0">
        <w:rPr>
          <w:szCs w:val="22"/>
        </w:rPr>
        <w:t xml:space="preserve">on the Draft Masterplan </w:t>
      </w:r>
      <w:r>
        <w:rPr>
          <w:szCs w:val="22"/>
        </w:rPr>
        <w:t>to commence.</w:t>
      </w:r>
    </w:p>
    <w:p w:rsidR="002F5C5E" w:rsidRPr="009C1143" w:rsidRDefault="002F5C5E" w:rsidP="00B71A04">
      <w:pPr>
        <w:tabs>
          <w:tab w:val="left" w:pos="567"/>
        </w:tabs>
        <w:ind w:left="567" w:hanging="567"/>
        <w:rPr>
          <w:szCs w:val="22"/>
        </w:rPr>
      </w:pPr>
    </w:p>
    <w:p w:rsidR="00B71A04" w:rsidRDefault="002F5C5E" w:rsidP="00B71A04">
      <w:pPr>
        <w:keepNext/>
        <w:numPr>
          <w:ilvl w:val="0"/>
          <w:numId w:val="8"/>
        </w:numPr>
        <w:tabs>
          <w:tab w:val="left" w:pos="567"/>
        </w:tabs>
        <w:ind w:left="567" w:hanging="567"/>
        <w:outlineLvl w:val="0"/>
        <w:rPr>
          <w:b/>
          <w:szCs w:val="22"/>
        </w:rPr>
      </w:pPr>
      <w:r w:rsidRPr="009C1143">
        <w:rPr>
          <w:b/>
          <w:szCs w:val="22"/>
        </w:rPr>
        <w:t>RECOMMENDATIONS</w:t>
      </w:r>
    </w:p>
    <w:p w:rsidR="00B71A04" w:rsidRDefault="00B71A04" w:rsidP="00B71A04">
      <w:pPr>
        <w:keepNext/>
        <w:tabs>
          <w:tab w:val="left" w:pos="567"/>
        </w:tabs>
        <w:ind w:left="567"/>
        <w:outlineLvl w:val="0"/>
        <w:rPr>
          <w:b/>
          <w:szCs w:val="22"/>
        </w:rPr>
      </w:pPr>
    </w:p>
    <w:p w:rsidR="002F5C5E" w:rsidRPr="00B65997" w:rsidRDefault="003C147E" w:rsidP="003C147E">
      <w:pPr>
        <w:keepNext/>
        <w:tabs>
          <w:tab w:val="left" w:pos="567"/>
        </w:tabs>
        <w:outlineLvl w:val="0"/>
        <w:rPr>
          <w:szCs w:val="22"/>
        </w:rPr>
      </w:pPr>
      <w:r>
        <w:rPr>
          <w:szCs w:val="22"/>
        </w:rPr>
        <w:t xml:space="preserve">2.1    </w:t>
      </w:r>
      <w:r w:rsidR="00B65997">
        <w:rPr>
          <w:szCs w:val="22"/>
        </w:rPr>
        <w:t xml:space="preserve">That the </w:t>
      </w:r>
      <w:r w:rsidR="00D83A33">
        <w:rPr>
          <w:szCs w:val="22"/>
        </w:rPr>
        <w:t xml:space="preserve">Planning </w:t>
      </w:r>
      <w:r w:rsidR="00B65997">
        <w:rPr>
          <w:szCs w:val="22"/>
        </w:rPr>
        <w:t>Committee endorses the submitted Draft Masterplan relating to the Pickering’s Farm site for consultation purposes</w:t>
      </w:r>
      <w:r w:rsidR="00D956E6">
        <w:rPr>
          <w:szCs w:val="22"/>
        </w:rPr>
        <w:t>.</w:t>
      </w:r>
    </w:p>
    <w:p w:rsidR="002F5C5E" w:rsidRPr="009C1143" w:rsidRDefault="002F5C5E" w:rsidP="00B71A04">
      <w:pPr>
        <w:tabs>
          <w:tab w:val="left" w:pos="567"/>
        </w:tabs>
        <w:ind w:left="567" w:hanging="567"/>
        <w:rPr>
          <w:sz w:val="16"/>
          <w:szCs w:val="16"/>
        </w:rPr>
      </w:pPr>
    </w:p>
    <w:p w:rsidR="002F5C5E" w:rsidRDefault="002F5C5E" w:rsidP="00B71A04">
      <w:pPr>
        <w:keepNext/>
        <w:numPr>
          <w:ilvl w:val="0"/>
          <w:numId w:val="8"/>
        </w:numPr>
        <w:tabs>
          <w:tab w:val="left" w:pos="567"/>
        </w:tabs>
        <w:ind w:left="567" w:hanging="567"/>
        <w:outlineLvl w:val="0"/>
        <w:rPr>
          <w:b/>
          <w:szCs w:val="22"/>
        </w:rPr>
      </w:pPr>
      <w:r w:rsidRPr="009C1143">
        <w:rPr>
          <w:b/>
          <w:szCs w:val="22"/>
        </w:rPr>
        <w:t xml:space="preserve">EXECUTIVE SUMMARY </w:t>
      </w:r>
    </w:p>
    <w:p w:rsidR="000B5251" w:rsidRDefault="000B5251" w:rsidP="00B71A04">
      <w:pPr>
        <w:keepNext/>
        <w:tabs>
          <w:tab w:val="left" w:pos="567"/>
        </w:tabs>
        <w:ind w:left="567" w:hanging="567"/>
        <w:outlineLvl w:val="0"/>
        <w:rPr>
          <w:b/>
          <w:szCs w:val="22"/>
        </w:rPr>
      </w:pPr>
    </w:p>
    <w:p w:rsidR="004865A0" w:rsidRDefault="002C43B0" w:rsidP="004865A0">
      <w:pPr>
        <w:spacing w:after="160" w:line="259" w:lineRule="auto"/>
        <w:rPr>
          <w:rFonts w:cs="Arial"/>
          <w:szCs w:val="22"/>
        </w:rPr>
      </w:pPr>
      <w:r>
        <w:rPr>
          <w:szCs w:val="22"/>
        </w:rPr>
        <w:t>3.1</w:t>
      </w:r>
      <w:r>
        <w:rPr>
          <w:szCs w:val="22"/>
        </w:rPr>
        <w:tab/>
        <w:t xml:space="preserve">A Draft Masterplan has been </w:t>
      </w:r>
      <w:r w:rsidR="004865A0">
        <w:rPr>
          <w:szCs w:val="22"/>
        </w:rPr>
        <w:t>prepared,</w:t>
      </w:r>
      <w:r w:rsidR="00BD4A5F">
        <w:rPr>
          <w:szCs w:val="22"/>
        </w:rPr>
        <w:t xml:space="preserve"> as required for the allocated housing site, Policy C1: Pickering’s Farm, Penwortham</w:t>
      </w:r>
      <w:r w:rsidR="00DA7DC4">
        <w:rPr>
          <w:szCs w:val="22"/>
        </w:rPr>
        <w:t>.  The Draft Mas</w:t>
      </w:r>
      <w:r w:rsidR="00D20FAC">
        <w:rPr>
          <w:szCs w:val="22"/>
        </w:rPr>
        <w:t>terplan sets out details of</w:t>
      </w:r>
      <w:r w:rsidR="00DA7DC4">
        <w:rPr>
          <w:szCs w:val="22"/>
        </w:rPr>
        <w:t xml:space="preserve"> </w:t>
      </w:r>
      <w:r w:rsidR="00D83A33">
        <w:rPr>
          <w:szCs w:val="22"/>
        </w:rPr>
        <w:t>a public consultation ‘visioning’ exercise that was carried ou</w:t>
      </w:r>
      <w:r w:rsidR="004865A0">
        <w:rPr>
          <w:szCs w:val="22"/>
        </w:rPr>
        <w:t>t which was used to inform this D</w:t>
      </w:r>
      <w:r w:rsidR="00D83A33">
        <w:rPr>
          <w:szCs w:val="22"/>
        </w:rPr>
        <w:t>raft Masterplan.  The Draft Masterplan provides the broad principles of how the Pickering’s Farm site could be developed</w:t>
      </w:r>
      <w:r w:rsidR="004865A0">
        <w:rPr>
          <w:szCs w:val="22"/>
        </w:rPr>
        <w:t xml:space="preserve">, including the </w:t>
      </w:r>
      <w:r w:rsidR="004865A0">
        <w:rPr>
          <w:rFonts w:cs="Arial"/>
          <w:szCs w:val="22"/>
        </w:rPr>
        <w:t>a</w:t>
      </w:r>
      <w:r w:rsidR="004865A0" w:rsidRPr="00D20FAC">
        <w:rPr>
          <w:rFonts w:cs="Arial"/>
          <w:szCs w:val="22"/>
        </w:rPr>
        <w:t xml:space="preserve">ccess and </w:t>
      </w:r>
      <w:r w:rsidR="004865A0">
        <w:rPr>
          <w:rFonts w:cs="Arial"/>
          <w:szCs w:val="22"/>
        </w:rPr>
        <w:t>m</w:t>
      </w:r>
      <w:r w:rsidR="004865A0" w:rsidRPr="00D20FAC">
        <w:rPr>
          <w:rFonts w:cs="Arial"/>
          <w:szCs w:val="22"/>
        </w:rPr>
        <w:t>ovement</w:t>
      </w:r>
      <w:r w:rsidR="004865A0">
        <w:rPr>
          <w:rFonts w:cs="Arial"/>
          <w:szCs w:val="22"/>
        </w:rPr>
        <w:t xml:space="preserve"> through the site and d</w:t>
      </w:r>
      <w:r w:rsidR="004865A0" w:rsidRPr="00D20FAC">
        <w:rPr>
          <w:rFonts w:cs="Arial"/>
          <w:szCs w:val="22"/>
        </w:rPr>
        <w:t xml:space="preserve">evelopment </w:t>
      </w:r>
      <w:r w:rsidR="004865A0">
        <w:rPr>
          <w:rFonts w:cs="Arial"/>
          <w:szCs w:val="22"/>
        </w:rPr>
        <w:t>p</w:t>
      </w:r>
      <w:r w:rsidR="004865A0" w:rsidRPr="00D20FAC">
        <w:rPr>
          <w:rFonts w:cs="Arial"/>
          <w:szCs w:val="22"/>
        </w:rPr>
        <w:t>arameters</w:t>
      </w:r>
      <w:r w:rsidR="004865A0">
        <w:rPr>
          <w:rFonts w:cs="Arial"/>
          <w:szCs w:val="22"/>
        </w:rPr>
        <w:t xml:space="preserve"> which include the s</w:t>
      </w:r>
      <w:r w:rsidR="004865A0" w:rsidRPr="00D20FAC">
        <w:rPr>
          <w:rFonts w:cs="Arial"/>
          <w:szCs w:val="22"/>
        </w:rPr>
        <w:t xml:space="preserve">cale of </w:t>
      </w:r>
      <w:r w:rsidR="004865A0">
        <w:rPr>
          <w:rFonts w:cs="Arial"/>
          <w:szCs w:val="22"/>
        </w:rPr>
        <w:t>d</w:t>
      </w:r>
      <w:r w:rsidR="004865A0" w:rsidRPr="00D20FAC">
        <w:rPr>
          <w:rFonts w:cs="Arial"/>
          <w:szCs w:val="22"/>
        </w:rPr>
        <w:t>evelopment</w:t>
      </w:r>
      <w:r w:rsidR="004865A0">
        <w:rPr>
          <w:rFonts w:cs="Arial"/>
          <w:szCs w:val="22"/>
        </w:rPr>
        <w:t>; site accesses; road hi</w:t>
      </w:r>
      <w:r w:rsidR="004865A0" w:rsidRPr="00D20FAC">
        <w:rPr>
          <w:rFonts w:cs="Arial"/>
          <w:szCs w:val="22"/>
        </w:rPr>
        <w:t>erarchy</w:t>
      </w:r>
      <w:r w:rsidR="004865A0">
        <w:rPr>
          <w:rFonts w:cs="Arial"/>
          <w:szCs w:val="22"/>
        </w:rPr>
        <w:t>; green i</w:t>
      </w:r>
      <w:r w:rsidR="004865A0" w:rsidRPr="00D20FAC">
        <w:rPr>
          <w:rFonts w:cs="Arial"/>
          <w:szCs w:val="22"/>
        </w:rPr>
        <w:t>nfrastructure</w:t>
      </w:r>
      <w:r w:rsidR="004865A0">
        <w:rPr>
          <w:rFonts w:cs="Arial"/>
          <w:szCs w:val="22"/>
        </w:rPr>
        <w:t xml:space="preserve"> and phasing of the development.</w:t>
      </w:r>
    </w:p>
    <w:p w:rsidR="004865A0" w:rsidRDefault="004865A0" w:rsidP="004865A0">
      <w:pPr>
        <w:spacing w:after="160" w:line="259" w:lineRule="auto"/>
        <w:rPr>
          <w:rFonts w:cs="Arial"/>
          <w:szCs w:val="22"/>
        </w:rPr>
      </w:pPr>
      <w:r>
        <w:rPr>
          <w:rFonts w:cs="Arial"/>
          <w:szCs w:val="22"/>
        </w:rPr>
        <w:t>3.2</w:t>
      </w:r>
      <w:r>
        <w:rPr>
          <w:rFonts w:cs="Arial"/>
          <w:szCs w:val="22"/>
        </w:rPr>
        <w:tab/>
        <w:t xml:space="preserve">It is considered that the Draft Masterplan satisfies the requirements of Policy C1 in terms of providing for a range of land uses which include residential, employment and commercial uses together with Green Infrastructure and community facilities.  </w:t>
      </w:r>
    </w:p>
    <w:p w:rsidR="003B1D7F" w:rsidRDefault="003B1D7F" w:rsidP="004865A0">
      <w:pPr>
        <w:spacing w:after="160" w:line="259" w:lineRule="auto"/>
        <w:rPr>
          <w:rFonts w:cs="Arial"/>
          <w:szCs w:val="22"/>
        </w:rPr>
      </w:pPr>
      <w:r>
        <w:rPr>
          <w:rFonts w:cs="Arial"/>
          <w:szCs w:val="22"/>
        </w:rPr>
        <w:t xml:space="preserve">3.3       </w:t>
      </w:r>
      <w:r>
        <w:rPr>
          <w:szCs w:val="22"/>
        </w:rPr>
        <w:t xml:space="preserve">Copies of the masterplan will be displayed for Members to view at the Planning Committee meeting and will be available in the Members room.  </w:t>
      </w:r>
    </w:p>
    <w:p w:rsidR="00DC7469" w:rsidRDefault="00DC7469" w:rsidP="004865A0">
      <w:pPr>
        <w:spacing w:after="160" w:line="259" w:lineRule="auto"/>
        <w:ind w:left="720" w:hanging="720"/>
        <w:rPr>
          <w:b/>
          <w:szCs w:val="22"/>
        </w:rPr>
      </w:pPr>
    </w:p>
    <w:p w:rsidR="00DC7469" w:rsidRDefault="00DC7469" w:rsidP="004865A0">
      <w:pPr>
        <w:spacing w:after="160" w:line="259" w:lineRule="auto"/>
        <w:ind w:left="720" w:hanging="720"/>
        <w:rPr>
          <w:b/>
          <w:szCs w:val="22"/>
        </w:rPr>
      </w:pPr>
    </w:p>
    <w:p w:rsidR="00DC7469" w:rsidRDefault="00DC7469" w:rsidP="004865A0">
      <w:pPr>
        <w:spacing w:after="160" w:line="259" w:lineRule="auto"/>
        <w:ind w:left="720" w:hanging="720"/>
        <w:rPr>
          <w:b/>
          <w:szCs w:val="22"/>
        </w:rPr>
      </w:pPr>
    </w:p>
    <w:p w:rsidR="00DC7469" w:rsidRDefault="00DC7469" w:rsidP="004865A0">
      <w:pPr>
        <w:spacing w:after="160" w:line="259" w:lineRule="auto"/>
        <w:ind w:left="720" w:hanging="720"/>
        <w:rPr>
          <w:b/>
          <w:szCs w:val="22"/>
        </w:rPr>
      </w:pPr>
    </w:p>
    <w:p w:rsidR="002F5C5E" w:rsidRDefault="004865A0" w:rsidP="004865A0">
      <w:pPr>
        <w:spacing w:after="160" w:line="259" w:lineRule="auto"/>
        <w:ind w:left="720" w:hanging="720"/>
        <w:rPr>
          <w:b/>
          <w:szCs w:val="22"/>
        </w:rPr>
      </w:pPr>
      <w:r>
        <w:rPr>
          <w:b/>
          <w:szCs w:val="22"/>
        </w:rPr>
        <w:lastRenderedPageBreak/>
        <w:t>4.</w:t>
      </w:r>
      <w:r>
        <w:rPr>
          <w:b/>
          <w:szCs w:val="22"/>
        </w:rPr>
        <w:tab/>
      </w:r>
      <w:r w:rsidR="002F5C5E" w:rsidRPr="009C1143">
        <w:rPr>
          <w:b/>
          <w:szCs w:val="22"/>
        </w:rPr>
        <w:t>CORPORATE PRIORITIES</w:t>
      </w:r>
    </w:p>
    <w:p w:rsidR="00DC7469" w:rsidRDefault="00DC7469" w:rsidP="004865A0">
      <w:pPr>
        <w:keepNext/>
        <w:tabs>
          <w:tab w:val="left" w:pos="567"/>
        </w:tabs>
        <w:outlineLvl w:val="0"/>
        <w:rPr>
          <w:szCs w:val="22"/>
        </w:rPr>
      </w:pPr>
    </w:p>
    <w:p w:rsidR="00772B9C" w:rsidRDefault="00772B9C" w:rsidP="004865A0">
      <w:pPr>
        <w:keepNext/>
        <w:tabs>
          <w:tab w:val="left" w:pos="567"/>
        </w:tabs>
        <w:outlineLvl w:val="0"/>
        <w:rPr>
          <w:b/>
          <w:szCs w:val="22"/>
        </w:rPr>
      </w:pPr>
      <w:r w:rsidRPr="009C1143">
        <w:rPr>
          <w:szCs w:val="22"/>
        </w:rPr>
        <w:t>The report relates to the following corporate priorities</w:t>
      </w:r>
      <w:r>
        <w:rPr>
          <w:szCs w:val="22"/>
        </w:rPr>
        <w:t>:</w:t>
      </w:r>
      <w:r w:rsidRPr="009C1143">
        <w:rPr>
          <w:b/>
          <w:szCs w:val="22"/>
        </w:rPr>
        <w:t xml:space="preserve"> </w:t>
      </w:r>
      <w:r w:rsidR="00B65997">
        <w:rPr>
          <w:b/>
          <w:szCs w:val="22"/>
        </w:rPr>
        <w:br/>
      </w:r>
    </w:p>
    <w:tbl>
      <w:tblPr>
        <w:tblpPr w:leftFromText="180" w:rightFromText="180" w:vertAnchor="text" w:tblpY="1"/>
        <w:tblOverlap w:val="never"/>
        <w:tblW w:w="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AC39E0">
        <w:tc>
          <w:tcPr>
            <w:tcW w:w="4423" w:type="dxa"/>
            <w:shd w:val="clear" w:color="auto" w:fill="auto"/>
          </w:tcPr>
          <w:p w:rsidR="00772B9C" w:rsidRPr="000828CC" w:rsidRDefault="00772B9C" w:rsidP="00AC39E0">
            <w:pPr>
              <w:rPr>
                <w:szCs w:val="22"/>
              </w:rPr>
            </w:pPr>
            <w:r w:rsidRPr="000828CC">
              <w:rPr>
                <w:szCs w:val="22"/>
              </w:rPr>
              <w:t>Excellence and Financial Sustainability</w:t>
            </w:r>
          </w:p>
          <w:p w:rsidR="00772B9C" w:rsidRPr="000828CC" w:rsidRDefault="00772B9C" w:rsidP="00AC39E0">
            <w:pPr>
              <w:rPr>
                <w:szCs w:val="22"/>
              </w:rPr>
            </w:pPr>
          </w:p>
        </w:tc>
        <w:tc>
          <w:tcPr>
            <w:tcW w:w="850" w:type="dxa"/>
            <w:shd w:val="clear" w:color="auto" w:fill="auto"/>
          </w:tcPr>
          <w:p w:rsidR="00772B9C" w:rsidRPr="008770BE" w:rsidRDefault="00772B9C" w:rsidP="00AC39E0">
            <w:pPr>
              <w:rPr>
                <w:szCs w:val="22"/>
                <w:highlight w:val="yellow"/>
              </w:rPr>
            </w:pPr>
          </w:p>
        </w:tc>
      </w:tr>
      <w:tr w:rsidR="00772B9C" w:rsidRPr="008770BE" w:rsidTr="00AC39E0">
        <w:tc>
          <w:tcPr>
            <w:tcW w:w="4423" w:type="dxa"/>
            <w:shd w:val="clear" w:color="auto" w:fill="auto"/>
          </w:tcPr>
          <w:p w:rsidR="00772B9C" w:rsidRPr="000828CC" w:rsidRDefault="00772B9C" w:rsidP="00AC39E0">
            <w:pPr>
              <w:rPr>
                <w:szCs w:val="22"/>
              </w:rPr>
            </w:pPr>
            <w:r w:rsidRPr="000828CC">
              <w:rPr>
                <w:szCs w:val="22"/>
              </w:rPr>
              <w:t>Health and Wellbeing</w:t>
            </w:r>
          </w:p>
          <w:p w:rsidR="00772B9C" w:rsidRPr="000828CC" w:rsidRDefault="00772B9C" w:rsidP="00AC39E0">
            <w:pPr>
              <w:rPr>
                <w:szCs w:val="22"/>
              </w:rPr>
            </w:pPr>
          </w:p>
        </w:tc>
        <w:tc>
          <w:tcPr>
            <w:tcW w:w="850" w:type="dxa"/>
            <w:shd w:val="clear" w:color="auto" w:fill="auto"/>
          </w:tcPr>
          <w:p w:rsidR="00772B9C" w:rsidRPr="008770BE" w:rsidRDefault="00772B9C" w:rsidP="00AC39E0">
            <w:pPr>
              <w:rPr>
                <w:szCs w:val="22"/>
                <w:highlight w:val="yellow"/>
              </w:rPr>
            </w:pPr>
          </w:p>
        </w:tc>
      </w:tr>
      <w:tr w:rsidR="00772B9C" w:rsidRPr="009C1143" w:rsidTr="00AC39E0">
        <w:tc>
          <w:tcPr>
            <w:tcW w:w="4423" w:type="dxa"/>
            <w:shd w:val="clear" w:color="auto" w:fill="auto"/>
          </w:tcPr>
          <w:p w:rsidR="00772B9C" w:rsidRPr="000828CC" w:rsidRDefault="00772B9C" w:rsidP="00AC39E0">
            <w:pPr>
              <w:rPr>
                <w:szCs w:val="22"/>
              </w:rPr>
            </w:pPr>
            <w:r w:rsidRPr="000828CC">
              <w:rPr>
                <w:szCs w:val="22"/>
              </w:rPr>
              <w:t>Place</w:t>
            </w:r>
          </w:p>
          <w:p w:rsidR="00772B9C" w:rsidRPr="000828CC" w:rsidRDefault="00772B9C" w:rsidP="00AC39E0">
            <w:pPr>
              <w:rPr>
                <w:szCs w:val="22"/>
              </w:rPr>
            </w:pPr>
          </w:p>
        </w:tc>
        <w:tc>
          <w:tcPr>
            <w:tcW w:w="850" w:type="dxa"/>
            <w:shd w:val="clear" w:color="auto" w:fill="auto"/>
          </w:tcPr>
          <w:p w:rsidR="00772B9C" w:rsidRPr="009C1143" w:rsidRDefault="00BD4A5F" w:rsidP="00AC39E0">
            <w:pPr>
              <w:rPr>
                <w:szCs w:val="22"/>
              </w:rPr>
            </w:pPr>
            <w:r>
              <w:rPr>
                <w:szCs w:val="22"/>
              </w:rPr>
              <w:t>X</w:t>
            </w:r>
          </w:p>
        </w:tc>
      </w:tr>
    </w:tbl>
    <w:p w:rsidR="00772B9C" w:rsidRDefault="00AC39E0" w:rsidP="00772B9C">
      <w:r>
        <w:br w:type="textWrapping" w:clear="all"/>
      </w:r>
    </w:p>
    <w:p w:rsidR="008911CB" w:rsidRDefault="008911CB" w:rsidP="008911CB">
      <w:r>
        <w:t>Projects relating to People in the Corporate Plan:</w:t>
      </w:r>
    </w:p>
    <w:p w:rsidR="008911CB" w:rsidRDefault="008911CB" w:rsidP="008911CB">
      <w:pPr>
        <w:ind w:firstLine="720"/>
      </w:pPr>
    </w:p>
    <w:tbl>
      <w:tblPr>
        <w:tblW w:w="5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850"/>
      </w:tblGrid>
      <w:tr w:rsidR="008911CB" w:rsidTr="008911CB">
        <w:tc>
          <w:tcPr>
            <w:tcW w:w="4395" w:type="dxa"/>
            <w:tcBorders>
              <w:top w:val="single" w:sz="4" w:space="0" w:color="auto"/>
              <w:left w:val="single" w:sz="4" w:space="0" w:color="auto"/>
              <w:bottom w:val="single" w:sz="4" w:space="0" w:color="auto"/>
              <w:right w:val="single" w:sz="4" w:space="0" w:color="auto"/>
            </w:tcBorders>
          </w:tcPr>
          <w:p w:rsidR="008911CB" w:rsidRDefault="008911CB">
            <w:pPr>
              <w:rPr>
                <w:szCs w:val="22"/>
              </w:rPr>
            </w:pPr>
            <w:r>
              <w:rPr>
                <w:szCs w:val="22"/>
              </w:rPr>
              <w:t xml:space="preserve">People </w:t>
            </w:r>
          </w:p>
          <w:p w:rsidR="008911CB" w:rsidRDefault="008911CB">
            <w:pPr>
              <w:rPr>
                <w:szCs w:val="22"/>
              </w:rPr>
            </w:pPr>
          </w:p>
        </w:tc>
        <w:tc>
          <w:tcPr>
            <w:tcW w:w="850" w:type="dxa"/>
            <w:tcBorders>
              <w:top w:val="single" w:sz="4" w:space="0" w:color="auto"/>
              <w:left w:val="single" w:sz="4" w:space="0" w:color="auto"/>
              <w:bottom w:val="single" w:sz="4" w:space="0" w:color="auto"/>
              <w:right w:val="single" w:sz="4" w:space="0" w:color="auto"/>
            </w:tcBorders>
            <w:hideMark/>
          </w:tcPr>
          <w:p w:rsidR="008911CB" w:rsidRDefault="008911CB">
            <w:pPr>
              <w:rPr>
                <w:szCs w:val="22"/>
              </w:rPr>
            </w:pPr>
            <w:r>
              <w:rPr>
                <w:szCs w:val="22"/>
              </w:rPr>
              <w:t>x</w:t>
            </w:r>
          </w:p>
        </w:tc>
      </w:tr>
    </w:tbl>
    <w:p w:rsidR="008911CB" w:rsidRDefault="008911CB" w:rsidP="00B71A04">
      <w:pPr>
        <w:tabs>
          <w:tab w:val="left" w:pos="567"/>
        </w:tabs>
        <w:ind w:left="567" w:hanging="567"/>
        <w:rPr>
          <w:b/>
          <w:szCs w:val="22"/>
        </w:rPr>
      </w:pPr>
    </w:p>
    <w:p w:rsidR="008911CB" w:rsidRDefault="008911CB" w:rsidP="00B71A04">
      <w:pPr>
        <w:tabs>
          <w:tab w:val="left" w:pos="567"/>
        </w:tabs>
        <w:ind w:left="567" w:hanging="567"/>
        <w:rPr>
          <w:b/>
          <w:szCs w:val="22"/>
        </w:rPr>
      </w:pPr>
    </w:p>
    <w:p w:rsidR="002F5C5E" w:rsidRDefault="00B71A04" w:rsidP="00B71A04">
      <w:pPr>
        <w:tabs>
          <w:tab w:val="left" w:pos="567"/>
        </w:tabs>
        <w:ind w:left="567" w:hanging="567"/>
        <w:rPr>
          <w:b/>
          <w:szCs w:val="22"/>
        </w:rPr>
      </w:pPr>
      <w:r>
        <w:rPr>
          <w:b/>
          <w:szCs w:val="22"/>
        </w:rPr>
        <w:t xml:space="preserve">5. </w:t>
      </w:r>
      <w:r>
        <w:rPr>
          <w:b/>
          <w:szCs w:val="22"/>
        </w:rPr>
        <w:tab/>
      </w:r>
      <w:r w:rsidR="002F5C5E" w:rsidRPr="009C1143">
        <w:rPr>
          <w:b/>
          <w:szCs w:val="22"/>
        </w:rPr>
        <w:t>BACKGROUND TO THE REPORT</w:t>
      </w:r>
    </w:p>
    <w:p w:rsidR="002328B3" w:rsidRDefault="002328B3" w:rsidP="00B71A04">
      <w:pPr>
        <w:tabs>
          <w:tab w:val="left" w:pos="567"/>
        </w:tabs>
        <w:ind w:left="567" w:hanging="567"/>
        <w:rPr>
          <w:b/>
          <w:szCs w:val="22"/>
        </w:rPr>
      </w:pPr>
    </w:p>
    <w:p w:rsidR="00D956E6" w:rsidRDefault="00D956E6" w:rsidP="00B71A04">
      <w:pPr>
        <w:tabs>
          <w:tab w:val="left" w:pos="567"/>
        </w:tabs>
        <w:ind w:left="567" w:hanging="567"/>
        <w:rPr>
          <w:b/>
          <w:szCs w:val="22"/>
        </w:rPr>
      </w:pPr>
    </w:p>
    <w:p w:rsidR="006D5FF0" w:rsidRPr="006D5FF0" w:rsidRDefault="006F352B" w:rsidP="006D5FF0">
      <w:pPr>
        <w:spacing w:after="160" w:line="259" w:lineRule="auto"/>
        <w:rPr>
          <w:rFonts w:cs="Arial"/>
        </w:rPr>
      </w:pPr>
      <w:r>
        <w:rPr>
          <w:szCs w:val="22"/>
        </w:rPr>
        <w:t>5.1</w:t>
      </w:r>
      <w:r>
        <w:rPr>
          <w:szCs w:val="22"/>
        </w:rPr>
        <w:tab/>
      </w:r>
      <w:r w:rsidR="006D5FF0" w:rsidRPr="006D5FF0">
        <w:rPr>
          <w:rFonts w:cs="Arial"/>
        </w:rPr>
        <w:t>Policy C1 entitled Pickering’s Farm Penwortham of the South Ribble Local Plan states</w:t>
      </w:r>
    </w:p>
    <w:p w:rsidR="006D5FF0" w:rsidRPr="006D5FF0" w:rsidRDefault="006D5FF0" w:rsidP="006D5FF0">
      <w:pPr>
        <w:spacing w:after="160" w:line="259" w:lineRule="auto"/>
        <w:rPr>
          <w:rFonts w:cs="Arial"/>
          <w:i/>
        </w:rPr>
      </w:pPr>
      <w:r w:rsidRPr="006D5FF0">
        <w:rPr>
          <w:rFonts w:cs="Arial"/>
          <w:i/>
        </w:rPr>
        <w:t>Planning permission will only be granted for the development of the Pickering’s Farm site subject to the submission of:</w:t>
      </w:r>
    </w:p>
    <w:p w:rsidR="006D5FF0" w:rsidRPr="006D5FF0" w:rsidRDefault="00DD404E" w:rsidP="006D5FF0">
      <w:pPr>
        <w:pStyle w:val="ListParagraph"/>
        <w:numPr>
          <w:ilvl w:val="0"/>
          <w:numId w:val="16"/>
        </w:numPr>
        <w:rPr>
          <w:rFonts w:ascii="Arial" w:hAnsi="Arial" w:cs="Arial"/>
          <w:i/>
        </w:rPr>
      </w:pPr>
      <w:r w:rsidRPr="006D5FF0">
        <w:rPr>
          <w:rFonts w:ascii="Arial" w:hAnsi="Arial" w:cs="Arial"/>
          <w:i/>
        </w:rPr>
        <w:t>An</w:t>
      </w:r>
      <w:r w:rsidR="006D5FF0" w:rsidRPr="006D5FF0">
        <w:rPr>
          <w:rFonts w:ascii="Arial" w:hAnsi="Arial" w:cs="Arial"/>
          <w:i/>
        </w:rPr>
        <w:t xml:space="preserve"> agreed Masterplan for the comprehensive development of the site.  The Masterplan must include the wider are of the Pickering’s Farm site which includes the safeguarded land which extends to Coote Land as shown on the Policies Map and makes provision for a range of land uses to include residential, employment and commercial use.  Green Infrastructure and community facilities. </w:t>
      </w:r>
    </w:p>
    <w:p w:rsidR="006D5FF0" w:rsidRPr="006D5FF0" w:rsidRDefault="006D5FF0" w:rsidP="006D5FF0">
      <w:pPr>
        <w:pStyle w:val="ListParagraph"/>
        <w:numPr>
          <w:ilvl w:val="0"/>
          <w:numId w:val="16"/>
        </w:numPr>
        <w:rPr>
          <w:rFonts w:ascii="Arial" w:hAnsi="Arial" w:cs="Arial"/>
          <w:i/>
        </w:rPr>
      </w:pPr>
      <w:r w:rsidRPr="006D5FF0">
        <w:rPr>
          <w:rFonts w:ascii="Arial" w:hAnsi="Arial" w:cs="Arial"/>
          <w:i/>
        </w:rPr>
        <w:t xml:space="preserve">A phasing and infrastructure delivery schedule </w:t>
      </w:r>
    </w:p>
    <w:p w:rsidR="006D5FF0" w:rsidRPr="006D5FF0" w:rsidRDefault="006D5FF0" w:rsidP="006D5FF0">
      <w:pPr>
        <w:pStyle w:val="ListParagraph"/>
        <w:numPr>
          <w:ilvl w:val="0"/>
          <w:numId w:val="16"/>
        </w:numPr>
        <w:rPr>
          <w:rFonts w:ascii="Arial" w:hAnsi="Arial" w:cs="Arial"/>
          <w:i/>
        </w:rPr>
      </w:pPr>
      <w:r w:rsidRPr="006D5FF0">
        <w:rPr>
          <w:rFonts w:ascii="Arial" w:hAnsi="Arial" w:cs="Arial"/>
          <w:i/>
        </w:rPr>
        <w:t xml:space="preserve">An agreed programme of implementation in accordance with the Masterplan and agreed design code. </w:t>
      </w:r>
    </w:p>
    <w:p w:rsidR="002C43B0" w:rsidRDefault="00D83A33" w:rsidP="00BD4A5F">
      <w:pPr>
        <w:spacing w:after="160" w:line="259" w:lineRule="auto"/>
        <w:rPr>
          <w:rFonts w:cs="Arial"/>
        </w:rPr>
      </w:pPr>
      <w:r>
        <w:rPr>
          <w:rFonts w:cs="Arial"/>
        </w:rPr>
        <w:t>5.2</w:t>
      </w:r>
      <w:r>
        <w:rPr>
          <w:rFonts w:cs="Arial"/>
        </w:rPr>
        <w:tab/>
      </w:r>
      <w:r w:rsidR="006D5FF0">
        <w:rPr>
          <w:rFonts w:cs="Arial"/>
        </w:rPr>
        <w:t xml:space="preserve">A </w:t>
      </w:r>
      <w:r w:rsidR="006D5FF0" w:rsidRPr="007A7EC6">
        <w:rPr>
          <w:rFonts w:cs="Arial"/>
        </w:rPr>
        <w:t>draft Masterplan</w:t>
      </w:r>
      <w:r w:rsidR="006D5FF0">
        <w:rPr>
          <w:rFonts w:cs="Arial"/>
        </w:rPr>
        <w:t xml:space="preserve"> has been produced by </w:t>
      </w:r>
      <w:r w:rsidR="006D5FF0">
        <w:rPr>
          <w:szCs w:val="22"/>
        </w:rPr>
        <w:t>Homes England and Taylor Wimpey for th</w:t>
      </w:r>
      <w:r w:rsidR="00D44196">
        <w:rPr>
          <w:szCs w:val="22"/>
        </w:rPr>
        <w:t>e allocated</w:t>
      </w:r>
      <w:r w:rsidR="006D5FF0">
        <w:rPr>
          <w:szCs w:val="22"/>
        </w:rPr>
        <w:t xml:space="preserve"> site.  </w:t>
      </w:r>
      <w:r w:rsidR="002C43B0" w:rsidRPr="007A7EC6">
        <w:rPr>
          <w:rFonts w:cs="Arial"/>
        </w:rPr>
        <w:t xml:space="preserve">As part of the preparation of this draft Masterplan, the Developers have carried out extensive consultation </w:t>
      </w:r>
      <w:r w:rsidR="00D25329">
        <w:rPr>
          <w:rFonts w:cs="Arial"/>
        </w:rPr>
        <w:t>to establish a</w:t>
      </w:r>
      <w:r w:rsidR="002C43B0" w:rsidRPr="007A7EC6">
        <w:rPr>
          <w:rFonts w:cs="Arial"/>
        </w:rPr>
        <w:t xml:space="preserve"> ‘vision’</w:t>
      </w:r>
      <w:r w:rsidR="00D25329">
        <w:rPr>
          <w:rFonts w:cs="Arial"/>
        </w:rPr>
        <w:t xml:space="preserve"> for the site</w:t>
      </w:r>
      <w:r w:rsidR="002C43B0" w:rsidRPr="007A7EC6">
        <w:rPr>
          <w:rFonts w:cs="Arial"/>
        </w:rPr>
        <w:t xml:space="preserve">. The draft Masterplan has been prepared following this initial consultation with property owners and landowners within the site, the local community, Members and Officers </w:t>
      </w:r>
      <w:r>
        <w:rPr>
          <w:rFonts w:cs="Arial"/>
        </w:rPr>
        <w:t xml:space="preserve">of South Ribble Borough Council </w:t>
      </w:r>
      <w:r w:rsidR="002C43B0" w:rsidRPr="007A7EC6">
        <w:rPr>
          <w:rFonts w:cs="Arial"/>
        </w:rPr>
        <w:t xml:space="preserve">and Lancashire County Council, statutory organisations, Penwortham Town Council and other stakeholders. This initial consultation took place between June and September 2018 and sought views on the overall content and vision for the draft Masterplan. </w:t>
      </w:r>
      <w:r w:rsidR="00E14CBF">
        <w:rPr>
          <w:rFonts w:cs="Arial"/>
        </w:rPr>
        <w:t>A summary of the extensive consultation is attached as Appendix 1.</w:t>
      </w:r>
    </w:p>
    <w:p w:rsidR="00BD4A5F" w:rsidRDefault="004865A0" w:rsidP="00BD4A5F">
      <w:pPr>
        <w:spacing w:after="160" w:line="259" w:lineRule="auto"/>
        <w:rPr>
          <w:rFonts w:cs="Arial"/>
        </w:rPr>
      </w:pPr>
      <w:r>
        <w:rPr>
          <w:rFonts w:cs="Arial"/>
        </w:rPr>
        <w:t>5.3</w:t>
      </w:r>
      <w:r>
        <w:rPr>
          <w:rFonts w:cs="Arial"/>
        </w:rPr>
        <w:tab/>
      </w:r>
      <w:r w:rsidR="002C43B0" w:rsidRPr="007A7EC6">
        <w:rPr>
          <w:rFonts w:cs="Arial"/>
        </w:rPr>
        <w:t xml:space="preserve">This draft Masterplan has been prepared as a basis for further </w:t>
      </w:r>
      <w:r w:rsidR="00BD4A5F">
        <w:rPr>
          <w:rFonts w:cs="Arial"/>
        </w:rPr>
        <w:t>more formal c</w:t>
      </w:r>
      <w:r w:rsidR="002C43B0" w:rsidRPr="007A7EC6">
        <w:rPr>
          <w:rFonts w:cs="Arial"/>
        </w:rPr>
        <w:t xml:space="preserve">onsultation with </w:t>
      </w:r>
      <w:r w:rsidR="00BD4A5F">
        <w:rPr>
          <w:rFonts w:cs="Arial"/>
        </w:rPr>
        <w:t>all</w:t>
      </w:r>
      <w:r w:rsidR="002C43B0" w:rsidRPr="007A7EC6">
        <w:rPr>
          <w:rFonts w:cs="Arial"/>
        </w:rPr>
        <w:t xml:space="preserve"> parties</w:t>
      </w:r>
      <w:r w:rsidR="00BD4A5F">
        <w:rPr>
          <w:rFonts w:cs="Arial"/>
        </w:rPr>
        <w:t>. The purpose of this</w:t>
      </w:r>
      <w:r w:rsidR="002C43B0" w:rsidRPr="007A7EC6">
        <w:rPr>
          <w:rFonts w:cs="Arial"/>
        </w:rPr>
        <w:t xml:space="preserve"> consultation is to seek the views of the local community and key stakeholders </w:t>
      </w:r>
      <w:r w:rsidR="00BD4A5F">
        <w:rPr>
          <w:rFonts w:cs="Arial"/>
        </w:rPr>
        <w:t>to inform a</w:t>
      </w:r>
      <w:r w:rsidR="002C43B0" w:rsidRPr="007A7EC6">
        <w:rPr>
          <w:rFonts w:cs="Arial"/>
        </w:rPr>
        <w:t xml:space="preserve"> </w:t>
      </w:r>
      <w:r w:rsidR="00D83A33">
        <w:rPr>
          <w:rFonts w:cs="Arial"/>
        </w:rPr>
        <w:t xml:space="preserve">final </w:t>
      </w:r>
      <w:r w:rsidR="002C43B0" w:rsidRPr="007A7EC6">
        <w:rPr>
          <w:rFonts w:cs="Arial"/>
        </w:rPr>
        <w:t>Masterplan</w:t>
      </w:r>
      <w:r w:rsidR="00BD4A5F">
        <w:rPr>
          <w:rFonts w:cs="Arial"/>
        </w:rPr>
        <w:t xml:space="preserve"> for the site as required by Policy C1</w:t>
      </w:r>
      <w:r w:rsidR="002C43B0" w:rsidRPr="007A7EC6">
        <w:rPr>
          <w:rFonts w:cs="Arial"/>
        </w:rPr>
        <w:t xml:space="preserve">. Once all comments have been received, they will be </w:t>
      </w:r>
      <w:r w:rsidR="00BD4A5F">
        <w:rPr>
          <w:rFonts w:cs="Arial"/>
        </w:rPr>
        <w:t xml:space="preserve">fully </w:t>
      </w:r>
      <w:r w:rsidR="00D83A33">
        <w:rPr>
          <w:rFonts w:cs="Arial"/>
        </w:rPr>
        <w:t>considered by Officers and the</w:t>
      </w:r>
      <w:r w:rsidR="002C43B0" w:rsidRPr="007A7EC6">
        <w:rPr>
          <w:rFonts w:cs="Arial"/>
        </w:rPr>
        <w:t xml:space="preserve"> Developers and, where appropriate, revisions will be made to the draft Masterplan prior to it being</w:t>
      </w:r>
      <w:r w:rsidR="00BD4A5F">
        <w:rPr>
          <w:rFonts w:cs="Arial"/>
        </w:rPr>
        <w:t xml:space="preserve"> submitted to S</w:t>
      </w:r>
      <w:r w:rsidR="00D83A33">
        <w:rPr>
          <w:rFonts w:cs="Arial"/>
        </w:rPr>
        <w:t xml:space="preserve">outh </w:t>
      </w:r>
      <w:r w:rsidR="00BD4A5F">
        <w:rPr>
          <w:rFonts w:cs="Arial"/>
        </w:rPr>
        <w:t>R</w:t>
      </w:r>
      <w:r w:rsidR="00D83A33">
        <w:rPr>
          <w:rFonts w:cs="Arial"/>
        </w:rPr>
        <w:t xml:space="preserve">ibble </w:t>
      </w:r>
      <w:r w:rsidR="00BD4A5F">
        <w:rPr>
          <w:rFonts w:cs="Arial"/>
        </w:rPr>
        <w:t>B</w:t>
      </w:r>
      <w:r w:rsidR="00D83A33">
        <w:rPr>
          <w:rFonts w:cs="Arial"/>
        </w:rPr>
        <w:t xml:space="preserve">orough </w:t>
      </w:r>
      <w:r w:rsidR="00BD4A5F">
        <w:rPr>
          <w:rFonts w:cs="Arial"/>
        </w:rPr>
        <w:t>C</w:t>
      </w:r>
      <w:r w:rsidR="00D83A33">
        <w:rPr>
          <w:rFonts w:cs="Arial"/>
        </w:rPr>
        <w:t>ouncil</w:t>
      </w:r>
      <w:r w:rsidR="00BD4A5F">
        <w:rPr>
          <w:rFonts w:cs="Arial"/>
        </w:rPr>
        <w:t xml:space="preserve"> for adoption for Development Management purpose</w:t>
      </w:r>
      <w:r w:rsidR="00D83A33">
        <w:rPr>
          <w:rFonts w:cs="Arial"/>
        </w:rPr>
        <w:t>s</w:t>
      </w:r>
      <w:r w:rsidR="00BD4A5F">
        <w:rPr>
          <w:rFonts w:cs="Arial"/>
        </w:rPr>
        <w:t xml:space="preserve"> and </w:t>
      </w:r>
      <w:r w:rsidR="002C43B0" w:rsidRPr="007A7EC6">
        <w:rPr>
          <w:rFonts w:cs="Arial"/>
        </w:rPr>
        <w:t xml:space="preserve">will </w:t>
      </w:r>
      <w:r w:rsidR="00D83A33">
        <w:rPr>
          <w:rFonts w:cs="Arial"/>
        </w:rPr>
        <w:t xml:space="preserve">then </w:t>
      </w:r>
      <w:r w:rsidR="002C43B0" w:rsidRPr="007A7EC6">
        <w:rPr>
          <w:rFonts w:cs="Arial"/>
        </w:rPr>
        <w:t xml:space="preserve">be used to guide future development within the site. </w:t>
      </w:r>
    </w:p>
    <w:p w:rsidR="00E7121A" w:rsidRDefault="00E7121A" w:rsidP="00B71A04">
      <w:pPr>
        <w:tabs>
          <w:tab w:val="left" w:pos="567"/>
        </w:tabs>
        <w:ind w:left="567" w:hanging="567"/>
        <w:rPr>
          <w:b/>
          <w:szCs w:val="22"/>
        </w:rPr>
      </w:pPr>
    </w:p>
    <w:p w:rsidR="00E7121A" w:rsidRDefault="00E7121A" w:rsidP="00B71A04">
      <w:pPr>
        <w:tabs>
          <w:tab w:val="left" w:pos="567"/>
        </w:tabs>
        <w:ind w:left="567" w:hanging="567"/>
        <w:rPr>
          <w:b/>
          <w:szCs w:val="22"/>
        </w:rPr>
      </w:pPr>
    </w:p>
    <w:p w:rsidR="00E7121A" w:rsidRDefault="00E7121A" w:rsidP="00B71A04">
      <w:pPr>
        <w:tabs>
          <w:tab w:val="left" w:pos="567"/>
        </w:tabs>
        <w:ind w:left="567" w:hanging="567"/>
        <w:rPr>
          <w:b/>
          <w:szCs w:val="22"/>
        </w:rPr>
      </w:pPr>
    </w:p>
    <w:p w:rsidR="002F5C5E" w:rsidRDefault="00B71A04" w:rsidP="00B71A04">
      <w:pPr>
        <w:tabs>
          <w:tab w:val="left" w:pos="567"/>
        </w:tabs>
        <w:ind w:left="567" w:hanging="567"/>
        <w:rPr>
          <w:b/>
          <w:szCs w:val="22"/>
        </w:rPr>
      </w:pPr>
      <w:r>
        <w:rPr>
          <w:b/>
          <w:szCs w:val="22"/>
        </w:rPr>
        <w:lastRenderedPageBreak/>
        <w:t>6.</w:t>
      </w:r>
      <w:r>
        <w:rPr>
          <w:b/>
          <w:szCs w:val="22"/>
        </w:rPr>
        <w:tab/>
      </w:r>
      <w:r w:rsidR="001938D6">
        <w:rPr>
          <w:b/>
          <w:szCs w:val="22"/>
        </w:rPr>
        <w:t xml:space="preserve">PROPOSALS </w:t>
      </w:r>
    </w:p>
    <w:p w:rsidR="001938D6" w:rsidRDefault="001938D6" w:rsidP="00B71A04">
      <w:pPr>
        <w:tabs>
          <w:tab w:val="left" w:pos="567"/>
        </w:tabs>
        <w:ind w:left="567" w:hanging="567"/>
        <w:rPr>
          <w:b/>
          <w:szCs w:val="22"/>
        </w:rPr>
      </w:pPr>
    </w:p>
    <w:p w:rsidR="006B3447" w:rsidRDefault="001938D6" w:rsidP="006B3447">
      <w:pPr>
        <w:spacing w:after="160" w:line="259" w:lineRule="auto"/>
        <w:rPr>
          <w:rFonts w:cs="Arial"/>
        </w:rPr>
      </w:pPr>
      <w:r w:rsidRPr="004865A0">
        <w:rPr>
          <w:szCs w:val="22"/>
        </w:rPr>
        <w:t>6.1</w:t>
      </w:r>
      <w:r w:rsidR="006B3447">
        <w:rPr>
          <w:szCs w:val="22"/>
        </w:rPr>
        <w:t xml:space="preserve">      </w:t>
      </w:r>
      <w:r w:rsidR="00D83A33">
        <w:rPr>
          <w:rFonts w:cs="Arial"/>
        </w:rPr>
        <w:t>T</w:t>
      </w:r>
      <w:r w:rsidR="00D25329">
        <w:rPr>
          <w:rFonts w:cs="Arial"/>
        </w:rPr>
        <w:t>he draft Masterplan sets out details of t</w:t>
      </w:r>
      <w:r w:rsidR="00D25329">
        <w:rPr>
          <w:rFonts w:cs="Arial"/>
          <w:szCs w:val="22"/>
        </w:rPr>
        <w:t xml:space="preserve">he </w:t>
      </w:r>
      <w:r w:rsidR="00D83A33">
        <w:rPr>
          <w:rFonts w:cs="Arial"/>
          <w:szCs w:val="22"/>
        </w:rPr>
        <w:t xml:space="preserve">Pickering’s Farm </w:t>
      </w:r>
      <w:r w:rsidR="00D25329">
        <w:rPr>
          <w:rFonts w:cs="Arial"/>
          <w:szCs w:val="22"/>
        </w:rPr>
        <w:t xml:space="preserve">site and </w:t>
      </w:r>
      <w:r w:rsidR="00D83A33">
        <w:rPr>
          <w:rFonts w:cs="Arial"/>
          <w:szCs w:val="22"/>
        </w:rPr>
        <w:t xml:space="preserve">the </w:t>
      </w:r>
      <w:r w:rsidR="00D25329">
        <w:rPr>
          <w:rFonts w:cs="Arial"/>
          <w:szCs w:val="22"/>
        </w:rPr>
        <w:t>c</w:t>
      </w:r>
      <w:r w:rsidR="00D25329" w:rsidRPr="00D20FAC">
        <w:rPr>
          <w:rFonts w:cs="Arial"/>
          <w:szCs w:val="22"/>
        </w:rPr>
        <w:t>ontext</w:t>
      </w:r>
      <w:r w:rsidR="00D83A33">
        <w:rPr>
          <w:rFonts w:cs="Arial"/>
          <w:szCs w:val="22"/>
        </w:rPr>
        <w:t xml:space="preserve"> in which it is set.  It then sets out</w:t>
      </w:r>
      <w:r w:rsidR="00D25329">
        <w:rPr>
          <w:rFonts w:cs="Arial"/>
          <w:szCs w:val="22"/>
        </w:rPr>
        <w:t xml:space="preserve"> the v</w:t>
      </w:r>
      <w:r w:rsidR="00D25329" w:rsidRPr="00D20FAC">
        <w:rPr>
          <w:rFonts w:cs="Arial"/>
          <w:szCs w:val="22"/>
        </w:rPr>
        <w:t xml:space="preserve">ision for the </w:t>
      </w:r>
      <w:r w:rsidR="00D25329">
        <w:rPr>
          <w:rFonts w:cs="Arial"/>
          <w:szCs w:val="22"/>
        </w:rPr>
        <w:t>s</w:t>
      </w:r>
      <w:r w:rsidR="00D25329" w:rsidRPr="00D20FAC">
        <w:rPr>
          <w:rFonts w:cs="Arial"/>
          <w:szCs w:val="22"/>
        </w:rPr>
        <w:t>ite</w:t>
      </w:r>
      <w:r w:rsidR="00D83A33">
        <w:rPr>
          <w:rFonts w:cs="Arial"/>
          <w:szCs w:val="22"/>
        </w:rPr>
        <w:t xml:space="preserve"> which was informed by the ‘visioning’ consultation exercise.  </w:t>
      </w:r>
      <w:r w:rsidR="006B3447">
        <w:rPr>
          <w:szCs w:val="22"/>
        </w:rPr>
        <w:t xml:space="preserve">The site </w:t>
      </w:r>
      <w:r w:rsidR="006B3447" w:rsidRPr="007A7EC6">
        <w:rPr>
          <w:rFonts w:cs="Arial"/>
        </w:rPr>
        <w:t xml:space="preserve">area extends to 99.78 hectares and comprises land bounded by Chain House Lane / Coote Lane to the south and Penwortham Way to the west. </w:t>
      </w:r>
    </w:p>
    <w:p w:rsidR="00D25329" w:rsidRDefault="006B3447" w:rsidP="00D25329">
      <w:pPr>
        <w:spacing w:after="160" w:line="259" w:lineRule="auto"/>
        <w:rPr>
          <w:rFonts w:cs="Arial"/>
          <w:szCs w:val="22"/>
        </w:rPr>
      </w:pPr>
      <w:r>
        <w:rPr>
          <w:rFonts w:cs="Arial"/>
          <w:szCs w:val="22"/>
        </w:rPr>
        <w:t xml:space="preserve">6.2     </w:t>
      </w:r>
      <w:r w:rsidR="00D83A33">
        <w:rPr>
          <w:rFonts w:cs="Arial"/>
          <w:szCs w:val="22"/>
        </w:rPr>
        <w:t xml:space="preserve">The draft Masterplan </w:t>
      </w:r>
      <w:r w:rsidR="00722A86">
        <w:rPr>
          <w:rFonts w:cs="Arial"/>
          <w:szCs w:val="22"/>
        </w:rPr>
        <w:t>outline</w:t>
      </w:r>
      <w:r w:rsidR="00D83A33">
        <w:rPr>
          <w:rFonts w:cs="Arial"/>
          <w:szCs w:val="22"/>
        </w:rPr>
        <w:t>s the broad principles for development of the site, including the</w:t>
      </w:r>
      <w:r w:rsidR="00722A86">
        <w:rPr>
          <w:rFonts w:cs="Arial"/>
          <w:szCs w:val="22"/>
        </w:rPr>
        <w:t xml:space="preserve"> location of dwellings; </w:t>
      </w:r>
      <w:r w:rsidR="00D25329">
        <w:rPr>
          <w:rFonts w:cs="Arial"/>
          <w:szCs w:val="22"/>
        </w:rPr>
        <w:t>a</w:t>
      </w:r>
      <w:r w:rsidR="00D25329" w:rsidRPr="00D20FAC">
        <w:rPr>
          <w:rFonts w:cs="Arial"/>
          <w:szCs w:val="22"/>
        </w:rPr>
        <w:t xml:space="preserve">ccess and </w:t>
      </w:r>
      <w:r w:rsidR="00D25329">
        <w:rPr>
          <w:rFonts w:cs="Arial"/>
          <w:szCs w:val="22"/>
        </w:rPr>
        <w:t>m</w:t>
      </w:r>
      <w:r w:rsidR="00D25329" w:rsidRPr="00D20FAC">
        <w:rPr>
          <w:rFonts w:cs="Arial"/>
          <w:szCs w:val="22"/>
        </w:rPr>
        <w:t>ovement</w:t>
      </w:r>
      <w:r w:rsidR="00D25329">
        <w:rPr>
          <w:rFonts w:cs="Arial"/>
          <w:szCs w:val="22"/>
        </w:rPr>
        <w:t xml:space="preserve"> through the site and d</w:t>
      </w:r>
      <w:r w:rsidR="00D25329" w:rsidRPr="00D20FAC">
        <w:rPr>
          <w:rFonts w:cs="Arial"/>
          <w:szCs w:val="22"/>
        </w:rPr>
        <w:t xml:space="preserve">evelopment </w:t>
      </w:r>
      <w:r w:rsidR="00D25329">
        <w:rPr>
          <w:rFonts w:cs="Arial"/>
          <w:szCs w:val="22"/>
        </w:rPr>
        <w:t>p</w:t>
      </w:r>
      <w:r w:rsidR="00D25329" w:rsidRPr="00D20FAC">
        <w:rPr>
          <w:rFonts w:cs="Arial"/>
          <w:szCs w:val="22"/>
        </w:rPr>
        <w:t>arameters</w:t>
      </w:r>
      <w:r w:rsidR="00D25329">
        <w:rPr>
          <w:rFonts w:cs="Arial"/>
          <w:szCs w:val="22"/>
        </w:rPr>
        <w:t xml:space="preserve"> which include the s</w:t>
      </w:r>
      <w:r w:rsidR="00D25329" w:rsidRPr="00D20FAC">
        <w:rPr>
          <w:rFonts w:cs="Arial"/>
          <w:szCs w:val="22"/>
        </w:rPr>
        <w:t xml:space="preserve">cale of </w:t>
      </w:r>
      <w:r w:rsidR="00D25329">
        <w:rPr>
          <w:rFonts w:cs="Arial"/>
          <w:szCs w:val="22"/>
        </w:rPr>
        <w:t>d</w:t>
      </w:r>
      <w:r w:rsidR="00D25329" w:rsidRPr="00D20FAC">
        <w:rPr>
          <w:rFonts w:cs="Arial"/>
          <w:szCs w:val="22"/>
        </w:rPr>
        <w:t>evelopment</w:t>
      </w:r>
      <w:r w:rsidR="00D25329">
        <w:rPr>
          <w:rFonts w:cs="Arial"/>
          <w:szCs w:val="22"/>
        </w:rPr>
        <w:t>; site accesses; road hi</w:t>
      </w:r>
      <w:r w:rsidR="00D25329" w:rsidRPr="00D20FAC">
        <w:rPr>
          <w:rFonts w:cs="Arial"/>
          <w:szCs w:val="22"/>
        </w:rPr>
        <w:t>erarchy</w:t>
      </w:r>
      <w:r w:rsidR="00D25329">
        <w:rPr>
          <w:rFonts w:cs="Arial"/>
          <w:szCs w:val="22"/>
        </w:rPr>
        <w:t>; green i</w:t>
      </w:r>
      <w:r w:rsidR="00D25329" w:rsidRPr="00D20FAC">
        <w:rPr>
          <w:rFonts w:cs="Arial"/>
          <w:szCs w:val="22"/>
        </w:rPr>
        <w:t>nfrastructure</w:t>
      </w:r>
      <w:r w:rsidR="00D25329">
        <w:rPr>
          <w:rFonts w:cs="Arial"/>
          <w:szCs w:val="22"/>
        </w:rPr>
        <w:t xml:space="preserve"> and phasing of the development</w:t>
      </w:r>
      <w:r w:rsidR="00722A86">
        <w:rPr>
          <w:rFonts w:cs="Arial"/>
          <w:szCs w:val="22"/>
        </w:rPr>
        <w:t>.</w:t>
      </w:r>
    </w:p>
    <w:p w:rsidR="00D25329" w:rsidRDefault="006B3447" w:rsidP="00D25329">
      <w:pPr>
        <w:spacing w:after="160" w:line="259" w:lineRule="auto"/>
        <w:rPr>
          <w:rFonts w:cs="Arial"/>
          <w:szCs w:val="22"/>
        </w:rPr>
      </w:pPr>
      <w:r>
        <w:rPr>
          <w:rFonts w:cs="Arial"/>
          <w:szCs w:val="22"/>
        </w:rPr>
        <w:t>6.3</w:t>
      </w:r>
      <w:r w:rsidR="004865A0">
        <w:rPr>
          <w:rFonts w:cs="Arial"/>
          <w:szCs w:val="22"/>
        </w:rPr>
        <w:tab/>
      </w:r>
      <w:r w:rsidR="00D25329">
        <w:rPr>
          <w:rFonts w:cs="Arial"/>
          <w:szCs w:val="22"/>
        </w:rPr>
        <w:t xml:space="preserve">It also includes details of the </w:t>
      </w:r>
      <w:r w:rsidR="00D25329" w:rsidRPr="00D20FAC">
        <w:rPr>
          <w:rFonts w:cs="Arial"/>
          <w:szCs w:val="22"/>
        </w:rPr>
        <w:t xml:space="preserve">Cross Borough Link Road Extension </w:t>
      </w:r>
      <w:r w:rsidR="00D25329">
        <w:rPr>
          <w:rFonts w:cs="Arial"/>
          <w:szCs w:val="22"/>
        </w:rPr>
        <w:t xml:space="preserve">and other </w:t>
      </w:r>
      <w:r w:rsidR="00D25329" w:rsidRPr="00D20FAC">
        <w:rPr>
          <w:rFonts w:cs="Arial"/>
          <w:szCs w:val="22"/>
        </w:rPr>
        <w:t>Local Highways Improvements an</w:t>
      </w:r>
      <w:r w:rsidR="00D25329">
        <w:rPr>
          <w:rFonts w:cs="Arial"/>
          <w:szCs w:val="22"/>
        </w:rPr>
        <w:t>d Public Transport Improvements, including a</w:t>
      </w:r>
      <w:r w:rsidR="00D25329" w:rsidRPr="00D20FAC">
        <w:rPr>
          <w:rFonts w:cs="Arial"/>
          <w:szCs w:val="22"/>
        </w:rPr>
        <w:t>n extensive network of footpaths, cycle</w:t>
      </w:r>
      <w:r w:rsidR="00643B42">
        <w:rPr>
          <w:rFonts w:cs="Arial"/>
          <w:szCs w:val="22"/>
        </w:rPr>
        <w:t xml:space="preserve"> </w:t>
      </w:r>
      <w:r w:rsidR="00D25329" w:rsidRPr="00D20FAC">
        <w:rPr>
          <w:rFonts w:cs="Arial"/>
          <w:szCs w:val="22"/>
        </w:rPr>
        <w:t>ways and bridleways</w:t>
      </w:r>
      <w:r w:rsidR="00D25329">
        <w:rPr>
          <w:rFonts w:cs="Arial"/>
          <w:szCs w:val="22"/>
        </w:rPr>
        <w:t xml:space="preserve"> through the site and beyond.</w:t>
      </w:r>
    </w:p>
    <w:p w:rsidR="00D83A33" w:rsidRDefault="00EB2D32" w:rsidP="00B71A04">
      <w:pPr>
        <w:tabs>
          <w:tab w:val="left" w:pos="567"/>
        </w:tabs>
        <w:ind w:left="567" w:hanging="567"/>
        <w:rPr>
          <w:b/>
          <w:szCs w:val="22"/>
        </w:rPr>
      </w:pPr>
      <w:r w:rsidRPr="00792A2B">
        <w:rPr>
          <w:b/>
          <w:szCs w:val="22"/>
        </w:rPr>
        <w:t>7</w:t>
      </w:r>
      <w:r w:rsidR="002F5C5E" w:rsidRPr="00792A2B">
        <w:rPr>
          <w:b/>
          <w:szCs w:val="22"/>
        </w:rPr>
        <w:t xml:space="preserve">. </w:t>
      </w:r>
      <w:r w:rsidR="00B71A04">
        <w:rPr>
          <w:b/>
          <w:szCs w:val="22"/>
        </w:rPr>
        <w:tab/>
      </w:r>
      <w:r w:rsidR="001938D6" w:rsidRPr="00792A2B">
        <w:rPr>
          <w:b/>
          <w:szCs w:val="22"/>
        </w:rPr>
        <w:t xml:space="preserve">CONSULTATION </w:t>
      </w:r>
      <w:r w:rsidR="00D83A33">
        <w:rPr>
          <w:b/>
          <w:szCs w:val="22"/>
        </w:rPr>
        <w:t xml:space="preserve">TO BE </w:t>
      </w:r>
      <w:r w:rsidR="001938D6" w:rsidRPr="00792A2B">
        <w:rPr>
          <w:b/>
          <w:szCs w:val="22"/>
        </w:rPr>
        <w:t>CARRIED OUT</w:t>
      </w:r>
    </w:p>
    <w:p w:rsidR="001938D6" w:rsidRPr="00792A2B" w:rsidRDefault="001938D6" w:rsidP="00B71A04">
      <w:pPr>
        <w:tabs>
          <w:tab w:val="left" w:pos="567"/>
        </w:tabs>
        <w:ind w:left="567" w:hanging="567"/>
        <w:rPr>
          <w:b/>
          <w:szCs w:val="22"/>
        </w:rPr>
      </w:pPr>
    </w:p>
    <w:p w:rsidR="00F43895" w:rsidRDefault="001938D6" w:rsidP="004865A0">
      <w:pPr>
        <w:tabs>
          <w:tab w:val="left" w:pos="567"/>
        </w:tabs>
        <w:rPr>
          <w:rFonts w:cs="Arial"/>
        </w:rPr>
      </w:pPr>
      <w:r w:rsidRPr="004865A0">
        <w:rPr>
          <w:szCs w:val="22"/>
        </w:rPr>
        <w:t>7.1</w:t>
      </w:r>
      <w:r w:rsidR="00B71A04" w:rsidRPr="004865A0">
        <w:rPr>
          <w:szCs w:val="22"/>
        </w:rPr>
        <w:tab/>
      </w:r>
      <w:r w:rsidR="00D25329">
        <w:rPr>
          <w:rFonts w:cs="Arial"/>
        </w:rPr>
        <w:t xml:space="preserve">Authority is sought to </w:t>
      </w:r>
      <w:r w:rsidR="00722A86">
        <w:rPr>
          <w:rFonts w:cs="Arial"/>
        </w:rPr>
        <w:t>commence a six week</w:t>
      </w:r>
      <w:r w:rsidR="00D25329">
        <w:rPr>
          <w:rFonts w:cs="Arial"/>
        </w:rPr>
        <w:t xml:space="preserve"> formal public consultation on the Draft</w:t>
      </w:r>
      <w:r w:rsidR="00722A86">
        <w:rPr>
          <w:rFonts w:cs="Arial"/>
        </w:rPr>
        <w:t xml:space="preserve"> Masterplan with </w:t>
      </w:r>
      <w:r w:rsidR="00D25329" w:rsidRPr="007A7EC6">
        <w:rPr>
          <w:rFonts w:cs="Arial"/>
        </w:rPr>
        <w:t xml:space="preserve">property owners and landowners within the site, the local community, </w:t>
      </w:r>
      <w:r w:rsidR="00722A86">
        <w:rPr>
          <w:rFonts w:cs="Arial"/>
        </w:rPr>
        <w:t xml:space="preserve">Ward </w:t>
      </w:r>
      <w:r w:rsidR="00D25329" w:rsidRPr="007A7EC6">
        <w:rPr>
          <w:rFonts w:cs="Arial"/>
        </w:rPr>
        <w:t>Members and Penwortham Town Council and other stakeholders</w:t>
      </w:r>
      <w:r w:rsidR="00722A86">
        <w:rPr>
          <w:rFonts w:cs="Arial"/>
        </w:rPr>
        <w:t xml:space="preserve"> together with Statutory Consultees.</w:t>
      </w:r>
    </w:p>
    <w:p w:rsidR="00D83A33" w:rsidRDefault="00D83A33" w:rsidP="00B71A04">
      <w:pPr>
        <w:tabs>
          <w:tab w:val="left" w:pos="567"/>
        </w:tabs>
        <w:ind w:left="567" w:hanging="567"/>
        <w:rPr>
          <w:rFonts w:cs="Arial"/>
        </w:rPr>
      </w:pPr>
    </w:p>
    <w:p w:rsidR="00D83A33" w:rsidRDefault="00387008" w:rsidP="00387008">
      <w:pPr>
        <w:keepNext/>
        <w:tabs>
          <w:tab w:val="left" w:pos="567"/>
        </w:tabs>
        <w:outlineLvl w:val="0"/>
        <w:rPr>
          <w:szCs w:val="22"/>
        </w:rPr>
      </w:pPr>
      <w:r>
        <w:rPr>
          <w:szCs w:val="22"/>
        </w:rPr>
        <w:t>7.2</w:t>
      </w:r>
      <w:r>
        <w:rPr>
          <w:szCs w:val="22"/>
        </w:rPr>
        <w:tab/>
      </w:r>
      <w:r w:rsidR="00D83A33">
        <w:rPr>
          <w:szCs w:val="22"/>
        </w:rPr>
        <w:t>Copies of the masterplan w</w:t>
      </w:r>
      <w:r w:rsidR="00F12162">
        <w:rPr>
          <w:szCs w:val="22"/>
        </w:rPr>
        <w:t>ill</w:t>
      </w:r>
      <w:r w:rsidR="00D83A33">
        <w:rPr>
          <w:szCs w:val="22"/>
        </w:rPr>
        <w:t xml:space="preserve"> be displayed for Members to view at the Planning Committee meeting and will be available in the Members room.  </w:t>
      </w:r>
    </w:p>
    <w:p w:rsidR="00D83A33" w:rsidRDefault="00D83A33" w:rsidP="00D83A33">
      <w:pPr>
        <w:keepNext/>
        <w:tabs>
          <w:tab w:val="left" w:pos="567"/>
        </w:tabs>
        <w:ind w:left="567" w:hanging="567"/>
        <w:outlineLvl w:val="0"/>
        <w:rPr>
          <w:szCs w:val="22"/>
        </w:rPr>
      </w:pPr>
    </w:p>
    <w:p w:rsidR="00460561" w:rsidRDefault="00387008" w:rsidP="00D83A33">
      <w:pPr>
        <w:keepNext/>
        <w:tabs>
          <w:tab w:val="left" w:pos="567"/>
        </w:tabs>
        <w:ind w:left="567" w:hanging="567"/>
        <w:outlineLvl w:val="0"/>
        <w:rPr>
          <w:szCs w:val="22"/>
        </w:rPr>
      </w:pPr>
      <w:r>
        <w:rPr>
          <w:szCs w:val="22"/>
        </w:rPr>
        <w:t>7.3</w:t>
      </w:r>
      <w:r>
        <w:rPr>
          <w:szCs w:val="22"/>
        </w:rPr>
        <w:tab/>
      </w:r>
      <w:r w:rsidR="00D83A33">
        <w:rPr>
          <w:szCs w:val="22"/>
        </w:rPr>
        <w:t>Going forward the consultation period will commence on 9</w:t>
      </w:r>
      <w:r w:rsidR="00D83A33" w:rsidRPr="00D83A33">
        <w:rPr>
          <w:szCs w:val="22"/>
          <w:vertAlign w:val="superscript"/>
        </w:rPr>
        <w:t>th</w:t>
      </w:r>
      <w:r w:rsidR="00D83A33">
        <w:rPr>
          <w:szCs w:val="22"/>
        </w:rPr>
        <w:t xml:space="preserve"> November for a 6 week period</w:t>
      </w:r>
      <w:r w:rsidR="00460561">
        <w:rPr>
          <w:szCs w:val="22"/>
        </w:rPr>
        <w:t>.</w:t>
      </w:r>
    </w:p>
    <w:p w:rsidR="00AC39E0" w:rsidRDefault="00460561" w:rsidP="00460561">
      <w:pPr>
        <w:keepNext/>
        <w:outlineLvl w:val="0"/>
        <w:rPr>
          <w:szCs w:val="22"/>
        </w:rPr>
      </w:pPr>
      <w:r>
        <w:rPr>
          <w:szCs w:val="22"/>
        </w:rPr>
        <w:t xml:space="preserve">The applicant intends to hold two formal consultation events </w:t>
      </w:r>
      <w:r w:rsidR="00AC39E0">
        <w:rPr>
          <w:szCs w:val="22"/>
        </w:rPr>
        <w:t>at Penwortham Community Centre on:</w:t>
      </w:r>
    </w:p>
    <w:p w:rsidR="00AC39E0" w:rsidRDefault="00AC39E0" w:rsidP="00460561">
      <w:pPr>
        <w:keepNext/>
        <w:outlineLvl w:val="0"/>
        <w:rPr>
          <w:szCs w:val="22"/>
        </w:rPr>
      </w:pPr>
    </w:p>
    <w:p w:rsidR="00AC39E0" w:rsidRDefault="00AC39E0" w:rsidP="00AC39E0">
      <w:pPr>
        <w:pStyle w:val="ListParagraph"/>
        <w:numPr>
          <w:ilvl w:val="0"/>
          <w:numId w:val="20"/>
        </w:numPr>
        <w:rPr>
          <w:rFonts w:ascii="Arial" w:hAnsi="Arial" w:cs="Arial"/>
          <w:lang w:val="en-US"/>
        </w:rPr>
      </w:pPr>
      <w:r w:rsidRPr="00AC39E0">
        <w:rPr>
          <w:rFonts w:ascii="Arial" w:hAnsi="Arial" w:cs="Arial"/>
          <w:lang w:val="en-US"/>
        </w:rPr>
        <w:t>Tuesday, 20</w:t>
      </w:r>
      <w:r w:rsidRPr="00AC39E0">
        <w:rPr>
          <w:rFonts w:ascii="Arial" w:hAnsi="Arial" w:cs="Arial"/>
          <w:vertAlign w:val="superscript"/>
          <w:lang w:val="en-US"/>
        </w:rPr>
        <w:t>th</w:t>
      </w:r>
      <w:r w:rsidRPr="00AC39E0">
        <w:rPr>
          <w:rFonts w:ascii="Arial" w:hAnsi="Arial" w:cs="Arial"/>
          <w:lang w:val="en-US"/>
        </w:rPr>
        <w:t xml:space="preserve"> November - 1pm – 2pm for Councilor preview; 2pm – 3pm for local resident preview; 3pm – 8pm for public event.</w:t>
      </w:r>
    </w:p>
    <w:p w:rsidR="00AC39E0" w:rsidRPr="00AC39E0" w:rsidRDefault="00AC39E0" w:rsidP="00AC39E0">
      <w:pPr>
        <w:pStyle w:val="ListParagraph"/>
        <w:rPr>
          <w:rFonts w:ascii="Arial" w:hAnsi="Arial" w:cs="Arial"/>
          <w:lang w:val="en-US"/>
        </w:rPr>
      </w:pPr>
    </w:p>
    <w:p w:rsidR="00AC39E0" w:rsidRPr="00AC39E0" w:rsidRDefault="00AC39E0" w:rsidP="00AC39E0">
      <w:pPr>
        <w:pStyle w:val="ListParagraph"/>
        <w:keepNext/>
        <w:numPr>
          <w:ilvl w:val="0"/>
          <w:numId w:val="20"/>
        </w:numPr>
        <w:outlineLvl w:val="0"/>
        <w:rPr>
          <w:rFonts w:ascii="Arial" w:hAnsi="Arial" w:cs="Arial"/>
        </w:rPr>
      </w:pPr>
      <w:r w:rsidRPr="00AC39E0">
        <w:rPr>
          <w:rFonts w:ascii="Arial" w:hAnsi="Arial" w:cs="Arial"/>
          <w:lang w:val="en-US"/>
        </w:rPr>
        <w:t>Saturday 24</w:t>
      </w:r>
      <w:r w:rsidRPr="00AC39E0">
        <w:rPr>
          <w:rFonts w:ascii="Arial" w:hAnsi="Arial" w:cs="Arial"/>
          <w:vertAlign w:val="superscript"/>
          <w:lang w:val="en-US"/>
        </w:rPr>
        <w:t>th</w:t>
      </w:r>
      <w:r w:rsidRPr="00AC39E0">
        <w:rPr>
          <w:rFonts w:ascii="Arial" w:hAnsi="Arial" w:cs="Arial"/>
          <w:lang w:val="en-US"/>
        </w:rPr>
        <w:t xml:space="preserve"> November - 2pm – 5pm.</w:t>
      </w:r>
    </w:p>
    <w:p w:rsidR="00D83A33" w:rsidRDefault="00AC39E0" w:rsidP="00460561">
      <w:pPr>
        <w:keepNext/>
        <w:outlineLvl w:val="0"/>
        <w:rPr>
          <w:szCs w:val="22"/>
        </w:rPr>
      </w:pPr>
      <w:r>
        <w:rPr>
          <w:szCs w:val="22"/>
        </w:rPr>
        <w:t xml:space="preserve"> </w:t>
      </w:r>
    </w:p>
    <w:p w:rsidR="00F43895" w:rsidRPr="00792A2B" w:rsidRDefault="00B71A04" w:rsidP="00B71A04">
      <w:pPr>
        <w:tabs>
          <w:tab w:val="left" w:pos="567"/>
        </w:tabs>
        <w:ind w:left="567" w:hanging="567"/>
        <w:rPr>
          <w:b/>
          <w:szCs w:val="22"/>
        </w:rPr>
      </w:pPr>
      <w:r>
        <w:rPr>
          <w:b/>
          <w:szCs w:val="22"/>
        </w:rPr>
        <w:t xml:space="preserve">8. </w:t>
      </w:r>
      <w:r>
        <w:rPr>
          <w:b/>
          <w:szCs w:val="22"/>
        </w:rPr>
        <w:tab/>
      </w:r>
      <w:r w:rsidR="00F43895" w:rsidRPr="00792A2B">
        <w:rPr>
          <w:rFonts w:cs="Arial"/>
          <w:b/>
          <w:caps/>
        </w:rPr>
        <w:t>Financial implications</w:t>
      </w:r>
    </w:p>
    <w:p w:rsidR="00F43895" w:rsidRPr="00792A2B" w:rsidRDefault="00F43895" w:rsidP="00B71A04">
      <w:pPr>
        <w:tabs>
          <w:tab w:val="left" w:pos="567"/>
        </w:tabs>
        <w:ind w:left="567" w:hanging="567"/>
        <w:rPr>
          <w:rFonts w:cs="Arial"/>
          <w:b/>
          <w:caps/>
        </w:rPr>
      </w:pPr>
    </w:p>
    <w:p w:rsidR="00F43895" w:rsidRPr="002878D0" w:rsidRDefault="002878D0" w:rsidP="00B71A04">
      <w:pPr>
        <w:tabs>
          <w:tab w:val="left" w:pos="567"/>
        </w:tabs>
        <w:ind w:left="567" w:hanging="567"/>
        <w:rPr>
          <w:rFonts w:cs="Arial"/>
          <w:color w:val="2E74B5"/>
        </w:rPr>
      </w:pPr>
      <w:r w:rsidRPr="002878D0">
        <w:rPr>
          <w:rFonts w:cs="Arial"/>
        </w:rPr>
        <w:t>8.1</w:t>
      </w:r>
      <w:r>
        <w:rPr>
          <w:rFonts w:cs="Arial"/>
          <w:i/>
        </w:rPr>
        <w:t xml:space="preserve">    </w:t>
      </w:r>
      <w:r w:rsidRPr="002878D0">
        <w:rPr>
          <w:rFonts w:cs="Arial"/>
        </w:rPr>
        <w:t xml:space="preserve">There are no financial implications </w:t>
      </w:r>
    </w:p>
    <w:p w:rsidR="002878D0" w:rsidRPr="00792A2B" w:rsidRDefault="002878D0" w:rsidP="00B71A04">
      <w:pPr>
        <w:tabs>
          <w:tab w:val="left" w:pos="567"/>
        </w:tabs>
        <w:ind w:left="567" w:hanging="567"/>
        <w:rPr>
          <w:rFonts w:cs="Arial"/>
          <w:b/>
          <w:color w:val="2E74B5"/>
        </w:rPr>
      </w:pPr>
    </w:p>
    <w:p w:rsidR="00F43895" w:rsidRPr="00792A2B" w:rsidRDefault="00B71A04" w:rsidP="00B71A04">
      <w:pPr>
        <w:tabs>
          <w:tab w:val="left" w:pos="567"/>
        </w:tabs>
        <w:ind w:left="567" w:hanging="567"/>
        <w:rPr>
          <w:rFonts w:cs="Arial"/>
          <w:b/>
          <w:caps/>
        </w:rPr>
      </w:pPr>
      <w:r>
        <w:rPr>
          <w:rFonts w:cs="Arial"/>
          <w:b/>
          <w:caps/>
        </w:rPr>
        <w:t xml:space="preserve">9. </w:t>
      </w:r>
      <w:r>
        <w:rPr>
          <w:rFonts w:cs="Arial"/>
          <w:b/>
          <w:caps/>
        </w:rPr>
        <w:tab/>
      </w:r>
      <w:r w:rsidR="00F43895" w:rsidRPr="00792A2B">
        <w:rPr>
          <w:rFonts w:cs="Arial"/>
          <w:b/>
          <w:caps/>
        </w:rPr>
        <w:t>LEGAL IMPLICATIONS</w:t>
      </w:r>
    </w:p>
    <w:p w:rsidR="001547EA" w:rsidRDefault="001547EA" w:rsidP="001547EA">
      <w:pPr>
        <w:rPr>
          <w:color w:val="1F497D"/>
        </w:rPr>
      </w:pPr>
    </w:p>
    <w:p w:rsidR="001547EA" w:rsidRPr="001547EA" w:rsidRDefault="001547EA" w:rsidP="001547EA">
      <w:pPr>
        <w:rPr>
          <w:rFonts w:ascii="Calibri" w:hAnsi="Calibri"/>
        </w:rPr>
      </w:pPr>
      <w:r w:rsidRPr="001547EA">
        <w:t>9.1   There are no legal implications</w:t>
      </w:r>
    </w:p>
    <w:p w:rsidR="00F43895" w:rsidRPr="00792A2B" w:rsidRDefault="00F43895" w:rsidP="00B71A04">
      <w:pPr>
        <w:tabs>
          <w:tab w:val="left" w:pos="567"/>
        </w:tabs>
        <w:ind w:left="567" w:hanging="567"/>
        <w:rPr>
          <w:rFonts w:cs="Arial"/>
          <w:b/>
          <w:caps/>
        </w:rPr>
      </w:pPr>
    </w:p>
    <w:p w:rsidR="00F43895" w:rsidRPr="00792A2B" w:rsidRDefault="00B71A04" w:rsidP="00B71A04">
      <w:pPr>
        <w:tabs>
          <w:tab w:val="left" w:pos="567"/>
        </w:tabs>
        <w:ind w:left="567" w:hanging="567"/>
        <w:rPr>
          <w:rFonts w:cs="Arial"/>
          <w:b/>
        </w:rPr>
      </w:pPr>
      <w:r>
        <w:rPr>
          <w:rFonts w:cs="Arial"/>
          <w:b/>
        </w:rPr>
        <w:t>10.</w:t>
      </w:r>
      <w:r>
        <w:rPr>
          <w:rFonts w:cs="Arial"/>
          <w:b/>
        </w:rPr>
        <w:tab/>
      </w:r>
      <w:r w:rsidR="00F43895" w:rsidRPr="00792A2B">
        <w:rPr>
          <w:rFonts w:cs="Arial"/>
          <w:b/>
        </w:rPr>
        <w:t>COMMENTS OF THE STATUTORY FINANCE OFFICER</w:t>
      </w:r>
    </w:p>
    <w:p w:rsidR="00BE2A3F" w:rsidRPr="00792A2B" w:rsidRDefault="00BE2A3F" w:rsidP="00B71A04">
      <w:pPr>
        <w:tabs>
          <w:tab w:val="left" w:pos="567"/>
        </w:tabs>
        <w:ind w:left="567" w:hanging="567"/>
        <w:rPr>
          <w:rFonts w:cs="Arial"/>
          <w:b/>
        </w:rPr>
      </w:pPr>
    </w:p>
    <w:p w:rsidR="002878D0" w:rsidRPr="00DA1588" w:rsidRDefault="00B71A04" w:rsidP="002878D0">
      <w:pPr>
        <w:rPr>
          <w:rFonts w:ascii="Calibri" w:hAnsi="Calibri"/>
        </w:rPr>
      </w:pPr>
      <w:r>
        <w:rPr>
          <w:rFonts w:cs="Arial"/>
        </w:rPr>
        <w:t>10.1</w:t>
      </w:r>
      <w:r>
        <w:rPr>
          <w:rFonts w:cs="Arial"/>
        </w:rPr>
        <w:tab/>
      </w:r>
      <w:r w:rsidR="002878D0" w:rsidRPr="00DA1588">
        <w:t xml:space="preserve">The report requests approval to proceed with consultation on the Draft Masterplan and therefore there are no financial implications at this stage. </w:t>
      </w:r>
    </w:p>
    <w:p w:rsidR="00F43895" w:rsidRPr="00792A2B" w:rsidRDefault="00F43895" w:rsidP="00B71A04">
      <w:pPr>
        <w:tabs>
          <w:tab w:val="left" w:pos="567"/>
        </w:tabs>
        <w:ind w:left="567" w:hanging="567"/>
        <w:rPr>
          <w:rFonts w:cs="Arial"/>
          <w:b/>
          <w:i/>
        </w:rPr>
      </w:pPr>
    </w:p>
    <w:p w:rsidR="00F43895" w:rsidRPr="00792A2B" w:rsidRDefault="00B71A04" w:rsidP="00B71A04">
      <w:pPr>
        <w:tabs>
          <w:tab w:val="left" w:pos="567"/>
        </w:tabs>
        <w:ind w:left="567" w:hanging="567"/>
        <w:rPr>
          <w:rFonts w:cs="Arial"/>
          <w:b/>
        </w:rPr>
      </w:pPr>
      <w:r>
        <w:rPr>
          <w:rFonts w:cs="Arial"/>
          <w:b/>
        </w:rPr>
        <w:t>11.</w:t>
      </w:r>
      <w:r>
        <w:rPr>
          <w:rFonts w:cs="Arial"/>
          <w:b/>
        </w:rPr>
        <w:tab/>
      </w:r>
      <w:r w:rsidR="00F43895" w:rsidRPr="00792A2B">
        <w:rPr>
          <w:rFonts w:cs="Arial"/>
          <w:b/>
        </w:rPr>
        <w:t>COMMENTS OF THE MONITORING OFFICER</w:t>
      </w:r>
    </w:p>
    <w:p w:rsidR="00F43895" w:rsidRDefault="00F43895" w:rsidP="00B71A04">
      <w:pPr>
        <w:tabs>
          <w:tab w:val="left" w:pos="567"/>
        </w:tabs>
        <w:ind w:left="567" w:hanging="567"/>
        <w:rPr>
          <w:rFonts w:cs="Arial"/>
          <w:b/>
        </w:rPr>
      </w:pPr>
    </w:p>
    <w:p w:rsidR="00BF0A2E" w:rsidRPr="00DA1588" w:rsidRDefault="00BF0A2E" w:rsidP="00BF0A2E">
      <w:pPr>
        <w:rPr>
          <w:rFonts w:ascii="Calibri" w:hAnsi="Calibri"/>
        </w:rPr>
      </w:pPr>
      <w:r>
        <w:rPr>
          <w:rFonts w:cs="Arial"/>
          <w:b/>
        </w:rPr>
        <w:t xml:space="preserve">11.1 </w:t>
      </w:r>
      <w:r w:rsidRPr="00DA1588">
        <w:t xml:space="preserve">The report requests approval to proceed with consultation on the Draft Masterplan and therefore there are no legal implications at this stage. </w:t>
      </w:r>
    </w:p>
    <w:p w:rsidR="002F5C5E" w:rsidRPr="00792A2B" w:rsidRDefault="002F5C5E" w:rsidP="002F5C5E">
      <w:pPr>
        <w:rPr>
          <w:b/>
          <w:strike/>
          <w:szCs w:val="22"/>
        </w:rPr>
      </w:pPr>
    </w:p>
    <w:p w:rsidR="000B5251" w:rsidRPr="00792A2B" w:rsidRDefault="000B5251" w:rsidP="000B5251">
      <w:pPr>
        <w:rPr>
          <w:b/>
          <w:szCs w:val="22"/>
        </w:rPr>
      </w:pPr>
      <w:r w:rsidRPr="00792A2B">
        <w:rPr>
          <w:b/>
          <w:szCs w:val="22"/>
        </w:rPr>
        <w:t xml:space="preserve">12. 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A56681">
            <w:pPr>
              <w:numPr>
                <w:ilvl w:val="0"/>
                <w:numId w:val="11"/>
              </w:numPr>
              <w:ind w:left="360"/>
              <w:rPr>
                <w:b/>
                <w:szCs w:val="22"/>
              </w:rPr>
            </w:pPr>
            <w:r w:rsidRPr="00792A2B">
              <w:rPr>
                <w:b/>
                <w:szCs w:val="22"/>
              </w:rPr>
              <w:lastRenderedPageBreak/>
              <w:t xml:space="preserve">HR &amp; Organisational Development </w:t>
            </w:r>
          </w:p>
          <w:p w:rsidR="00A56681" w:rsidRPr="00792A2B" w:rsidRDefault="00A56681" w:rsidP="00A56681">
            <w:pPr>
              <w:ind w:left="360"/>
              <w:rPr>
                <w:b/>
                <w:szCs w:val="22"/>
              </w:rPr>
            </w:pPr>
          </w:p>
          <w:p w:rsidR="00A56681" w:rsidRPr="00792A2B" w:rsidRDefault="00A56681" w:rsidP="00A56681">
            <w:pPr>
              <w:numPr>
                <w:ilvl w:val="0"/>
                <w:numId w:val="11"/>
              </w:numPr>
              <w:ind w:left="360"/>
              <w:rPr>
                <w:b/>
                <w:szCs w:val="22"/>
              </w:rPr>
            </w:pPr>
            <w:r w:rsidRPr="00792A2B">
              <w:rPr>
                <w:b/>
                <w:szCs w:val="22"/>
              </w:rPr>
              <w:t>ICT / Technology</w:t>
            </w:r>
          </w:p>
          <w:p w:rsidR="002F5C5E" w:rsidRPr="00792A2B" w:rsidRDefault="002F5C5E" w:rsidP="00A56681">
            <w:pPr>
              <w:ind w:left="360"/>
              <w:rPr>
                <w:b/>
                <w:szCs w:val="22"/>
              </w:rPr>
            </w:pPr>
          </w:p>
          <w:p w:rsidR="00A56681" w:rsidRPr="00792A2B" w:rsidRDefault="00A56681" w:rsidP="00A56681">
            <w:pPr>
              <w:numPr>
                <w:ilvl w:val="0"/>
                <w:numId w:val="11"/>
              </w:numPr>
              <w:ind w:left="360"/>
              <w:rPr>
                <w:b/>
                <w:szCs w:val="22"/>
              </w:rPr>
            </w:pPr>
            <w:r w:rsidRPr="00792A2B">
              <w:rPr>
                <w:b/>
                <w:szCs w:val="22"/>
              </w:rPr>
              <w:t>Property &amp; Asset Management</w:t>
            </w:r>
          </w:p>
          <w:p w:rsidR="00A56681" w:rsidRPr="00792A2B" w:rsidRDefault="00A56681" w:rsidP="00A56681">
            <w:pPr>
              <w:ind w:left="360"/>
              <w:rPr>
                <w:b/>
                <w:szCs w:val="22"/>
              </w:rPr>
            </w:pPr>
          </w:p>
          <w:p w:rsidR="002F5C5E" w:rsidRDefault="00A56681" w:rsidP="0047741D">
            <w:pPr>
              <w:numPr>
                <w:ilvl w:val="0"/>
                <w:numId w:val="11"/>
              </w:numPr>
              <w:ind w:left="360"/>
              <w:rPr>
                <w:b/>
                <w:szCs w:val="22"/>
              </w:rPr>
            </w:pPr>
            <w:r w:rsidRPr="00792A2B">
              <w:rPr>
                <w:b/>
                <w:szCs w:val="22"/>
              </w:rPr>
              <w:t xml:space="preserve">Risk </w:t>
            </w:r>
          </w:p>
          <w:p w:rsidR="00670BE0" w:rsidRDefault="00670BE0" w:rsidP="00670BE0">
            <w:pPr>
              <w:pStyle w:val="ListParagraph"/>
              <w:rPr>
                <w:b/>
              </w:rPr>
            </w:pPr>
          </w:p>
          <w:p w:rsidR="00670BE0" w:rsidRPr="00792A2B" w:rsidRDefault="00670BE0" w:rsidP="00670BE0">
            <w:pPr>
              <w:ind w:left="360"/>
              <w:rPr>
                <w:b/>
                <w:szCs w:val="22"/>
              </w:rPr>
            </w:pPr>
          </w:p>
          <w:p w:rsidR="003C36EB" w:rsidRPr="00792A2B" w:rsidRDefault="003C36EB" w:rsidP="0047741D">
            <w:pPr>
              <w:rPr>
                <w:b/>
                <w:szCs w:val="22"/>
              </w:rPr>
            </w:pPr>
          </w:p>
          <w:p w:rsidR="002F5C5E" w:rsidRPr="00792A2B" w:rsidRDefault="00A56681" w:rsidP="00A56681">
            <w:pPr>
              <w:numPr>
                <w:ilvl w:val="0"/>
                <w:numId w:val="11"/>
              </w:numPr>
              <w:ind w:left="360"/>
              <w:rPr>
                <w:b/>
                <w:szCs w:val="22"/>
              </w:rPr>
            </w:pPr>
            <w:r w:rsidRPr="00792A2B">
              <w:rPr>
                <w:b/>
                <w:szCs w:val="22"/>
              </w:rPr>
              <w:t xml:space="preserve">Equality &amp; Diversity </w:t>
            </w:r>
          </w:p>
          <w:p w:rsidR="00A56681" w:rsidRPr="00792A2B" w:rsidRDefault="00A56681" w:rsidP="00A56681">
            <w:pPr>
              <w:rPr>
                <w:b/>
                <w:szCs w:val="22"/>
              </w:rPr>
            </w:pPr>
          </w:p>
          <w:p w:rsidR="002F5C5E" w:rsidRPr="00792A2B" w:rsidRDefault="002F5C5E" w:rsidP="00814028">
            <w:pPr>
              <w:rPr>
                <w:szCs w:val="22"/>
              </w:rPr>
            </w:pPr>
          </w:p>
        </w:tc>
        <w:tc>
          <w:tcPr>
            <w:tcW w:w="6379" w:type="dxa"/>
            <w:shd w:val="clear" w:color="auto" w:fill="auto"/>
          </w:tcPr>
          <w:p w:rsidR="002F5C5E" w:rsidRPr="00792A2B" w:rsidRDefault="002F5C5E" w:rsidP="00AC4A99">
            <w:pPr>
              <w:rPr>
                <w:szCs w:val="22"/>
              </w:rPr>
            </w:pPr>
          </w:p>
          <w:p w:rsidR="00F43895" w:rsidRPr="00DC6696" w:rsidRDefault="00DC6696" w:rsidP="00AC4A99">
            <w:pPr>
              <w:rPr>
                <w:szCs w:val="22"/>
              </w:rPr>
            </w:pPr>
            <w:r w:rsidRPr="00DC6696">
              <w:rPr>
                <w:szCs w:val="22"/>
              </w:rPr>
              <w:t>If required an update will be provided at the Meeting</w:t>
            </w:r>
            <w:r>
              <w:rPr>
                <w:szCs w:val="22"/>
              </w:rPr>
              <w:t>.</w:t>
            </w:r>
            <w:r w:rsidRPr="00DC6696">
              <w:rPr>
                <w:szCs w:val="22"/>
              </w:rPr>
              <w:t xml:space="preserve"> </w:t>
            </w:r>
          </w:p>
          <w:p w:rsidR="00A56681" w:rsidRPr="00DC6696" w:rsidRDefault="00A56681" w:rsidP="00AC4A99">
            <w:pPr>
              <w:rPr>
                <w:szCs w:val="22"/>
              </w:rPr>
            </w:pPr>
          </w:p>
          <w:p w:rsidR="004853E8" w:rsidRDefault="004853E8" w:rsidP="00DC6696">
            <w:pPr>
              <w:rPr>
                <w:szCs w:val="22"/>
              </w:rPr>
            </w:pPr>
          </w:p>
          <w:p w:rsidR="00DC6696" w:rsidRPr="00DC6696" w:rsidRDefault="00DC6696" w:rsidP="00DC6696">
            <w:pPr>
              <w:rPr>
                <w:szCs w:val="22"/>
              </w:rPr>
            </w:pPr>
            <w:r w:rsidRPr="00DC6696">
              <w:rPr>
                <w:szCs w:val="22"/>
              </w:rPr>
              <w:t>If required an update will be provided at the Meeting</w:t>
            </w:r>
            <w:r>
              <w:rPr>
                <w:szCs w:val="22"/>
              </w:rPr>
              <w:t>.</w:t>
            </w:r>
            <w:r w:rsidRPr="00DC6696">
              <w:rPr>
                <w:szCs w:val="22"/>
              </w:rPr>
              <w:t xml:space="preserve"> </w:t>
            </w:r>
          </w:p>
          <w:p w:rsidR="00F43895" w:rsidRPr="00DC6696" w:rsidRDefault="00F43895" w:rsidP="00AC4A99">
            <w:pPr>
              <w:rPr>
                <w:szCs w:val="22"/>
              </w:rPr>
            </w:pPr>
          </w:p>
          <w:p w:rsidR="00DC6696" w:rsidRPr="00DC6696" w:rsidRDefault="00DC6696" w:rsidP="00DC6696">
            <w:pPr>
              <w:rPr>
                <w:szCs w:val="22"/>
              </w:rPr>
            </w:pPr>
            <w:r w:rsidRPr="00DC6696">
              <w:rPr>
                <w:szCs w:val="22"/>
              </w:rPr>
              <w:t>If required an update will be provided at the Meeting</w:t>
            </w:r>
            <w:r>
              <w:rPr>
                <w:szCs w:val="22"/>
              </w:rPr>
              <w:t>.</w:t>
            </w:r>
            <w:r w:rsidRPr="00DC6696">
              <w:rPr>
                <w:szCs w:val="22"/>
              </w:rPr>
              <w:t xml:space="preserve"> </w:t>
            </w:r>
          </w:p>
          <w:p w:rsidR="00F43895" w:rsidRPr="00DC6696" w:rsidRDefault="00F43895" w:rsidP="00AC4A99">
            <w:pPr>
              <w:rPr>
                <w:szCs w:val="22"/>
              </w:rPr>
            </w:pPr>
          </w:p>
          <w:p w:rsidR="00602C27" w:rsidRDefault="00602C27" w:rsidP="009B05BF">
            <w:pPr>
              <w:autoSpaceDE w:val="0"/>
              <w:autoSpaceDN w:val="0"/>
              <w:adjustRightInd w:val="0"/>
              <w:rPr>
                <w:rFonts w:ascii="ArialMT" w:hAnsi="ArialMT" w:cs="ArialMT"/>
                <w:szCs w:val="22"/>
              </w:rPr>
            </w:pPr>
          </w:p>
          <w:p w:rsidR="00F43895" w:rsidRDefault="009B05BF" w:rsidP="009B05BF">
            <w:pPr>
              <w:autoSpaceDE w:val="0"/>
              <w:autoSpaceDN w:val="0"/>
              <w:adjustRightInd w:val="0"/>
              <w:rPr>
                <w:rFonts w:ascii="ArialMT" w:hAnsi="ArialMT" w:cs="ArialMT"/>
                <w:szCs w:val="22"/>
              </w:rPr>
            </w:pPr>
            <w:r>
              <w:rPr>
                <w:rFonts w:ascii="ArialMT" w:hAnsi="ArialMT" w:cs="ArialMT"/>
                <w:szCs w:val="22"/>
              </w:rPr>
              <w:t>If the report is not approved there could be a delay to the consultation exercise.</w:t>
            </w:r>
          </w:p>
          <w:p w:rsidR="004853E8" w:rsidRPr="00DC6696" w:rsidRDefault="004853E8" w:rsidP="009B05BF">
            <w:pPr>
              <w:autoSpaceDE w:val="0"/>
              <w:autoSpaceDN w:val="0"/>
              <w:adjustRightInd w:val="0"/>
              <w:rPr>
                <w:szCs w:val="22"/>
              </w:rPr>
            </w:pPr>
          </w:p>
          <w:p w:rsidR="00DC6696" w:rsidRPr="00DC6696" w:rsidRDefault="008A3225" w:rsidP="008A3225">
            <w:pPr>
              <w:autoSpaceDE w:val="0"/>
              <w:autoSpaceDN w:val="0"/>
              <w:adjustRightInd w:val="0"/>
              <w:rPr>
                <w:szCs w:val="22"/>
              </w:rPr>
            </w:pPr>
            <w:r>
              <w:rPr>
                <w:rFonts w:ascii="ArialMT" w:hAnsi="ArialMT" w:cs="ArialMT"/>
                <w:szCs w:val="22"/>
              </w:rPr>
              <w:t>This report requires authorisation to commence a formal consultation</w:t>
            </w:r>
            <w:r w:rsidR="00602C27">
              <w:rPr>
                <w:rFonts w:ascii="ArialMT" w:hAnsi="ArialMT" w:cs="ArialMT"/>
                <w:szCs w:val="22"/>
              </w:rPr>
              <w:t xml:space="preserve"> </w:t>
            </w:r>
            <w:r>
              <w:rPr>
                <w:rFonts w:ascii="ArialMT" w:hAnsi="ArialMT" w:cs="ArialMT"/>
                <w:szCs w:val="22"/>
              </w:rPr>
              <w:t>process. At this stage, there are no equality impact issues identified.</w:t>
            </w:r>
          </w:p>
          <w:p w:rsidR="00DC6696" w:rsidRPr="00F43895" w:rsidRDefault="00DC6696" w:rsidP="00AC4A99">
            <w:pPr>
              <w:rPr>
                <w:i/>
                <w:color w:val="2E74B5" w:themeColor="accent1" w:themeShade="BF"/>
                <w:szCs w:val="22"/>
              </w:rPr>
            </w:pPr>
          </w:p>
        </w:tc>
      </w:tr>
    </w:tbl>
    <w:p w:rsidR="00B71A04" w:rsidRDefault="00B71A04" w:rsidP="002F5C5E">
      <w:pPr>
        <w:rPr>
          <w:b/>
          <w:szCs w:val="22"/>
        </w:rPr>
      </w:pPr>
    </w:p>
    <w:p w:rsidR="002F5C5E" w:rsidRDefault="000B5251" w:rsidP="00B71A04">
      <w:pPr>
        <w:tabs>
          <w:tab w:val="left" w:pos="567"/>
        </w:tabs>
        <w:rPr>
          <w:b/>
          <w:szCs w:val="22"/>
        </w:rPr>
      </w:pPr>
      <w:r>
        <w:rPr>
          <w:b/>
          <w:szCs w:val="22"/>
        </w:rPr>
        <w:t xml:space="preserve">13. </w:t>
      </w:r>
      <w:r w:rsidR="00B71A04">
        <w:rPr>
          <w:b/>
          <w:szCs w:val="22"/>
        </w:rPr>
        <w:tab/>
      </w:r>
      <w:r>
        <w:rPr>
          <w:b/>
          <w:szCs w:val="22"/>
        </w:rPr>
        <w:t xml:space="preserve">BACKGROUND DOCUMENTS </w:t>
      </w:r>
    </w:p>
    <w:p w:rsidR="000B5251" w:rsidRDefault="000B5251" w:rsidP="00B71A04">
      <w:pPr>
        <w:tabs>
          <w:tab w:val="left" w:pos="567"/>
        </w:tabs>
        <w:rPr>
          <w:szCs w:val="22"/>
        </w:rPr>
      </w:pPr>
    </w:p>
    <w:p w:rsidR="00BD4A5F" w:rsidRPr="009C1143" w:rsidRDefault="00BD4A5F" w:rsidP="00B71A04">
      <w:pPr>
        <w:tabs>
          <w:tab w:val="left" w:pos="567"/>
        </w:tabs>
        <w:rPr>
          <w:szCs w:val="22"/>
        </w:rPr>
      </w:pPr>
      <w:r>
        <w:rPr>
          <w:szCs w:val="22"/>
        </w:rPr>
        <w:t>Central Lancashire Core Strategy</w:t>
      </w:r>
    </w:p>
    <w:p w:rsidR="000B5251" w:rsidRDefault="00BD4A5F" w:rsidP="00B71A04">
      <w:pPr>
        <w:tabs>
          <w:tab w:val="left" w:pos="567"/>
        </w:tabs>
        <w:rPr>
          <w:szCs w:val="22"/>
        </w:rPr>
      </w:pPr>
      <w:r>
        <w:rPr>
          <w:szCs w:val="22"/>
        </w:rPr>
        <w:t>South Ribble Local Plan</w:t>
      </w:r>
    </w:p>
    <w:p w:rsidR="00BD4A5F" w:rsidRPr="00BD4A5F" w:rsidRDefault="00BD4A5F" w:rsidP="00B71A04">
      <w:pPr>
        <w:tabs>
          <w:tab w:val="left" w:pos="567"/>
        </w:tabs>
        <w:rPr>
          <w:szCs w:val="22"/>
        </w:rPr>
      </w:pPr>
    </w:p>
    <w:p w:rsidR="00BD4A5F" w:rsidRDefault="000B5251" w:rsidP="00B71A04">
      <w:pPr>
        <w:tabs>
          <w:tab w:val="left" w:pos="567"/>
        </w:tabs>
        <w:rPr>
          <w:b/>
        </w:rPr>
      </w:pPr>
      <w:r w:rsidRPr="00792A2B">
        <w:rPr>
          <w:b/>
        </w:rPr>
        <w:t xml:space="preserve">14. </w:t>
      </w:r>
      <w:r w:rsidR="00B71A04">
        <w:rPr>
          <w:b/>
        </w:rPr>
        <w:tab/>
      </w:r>
      <w:r w:rsidRPr="00792A2B">
        <w:rPr>
          <w:b/>
        </w:rPr>
        <w:t xml:space="preserve">APPENDICES </w:t>
      </w:r>
    </w:p>
    <w:p w:rsidR="00C413EA" w:rsidRDefault="00C413EA" w:rsidP="00B71A04">
      <w:pPr>
        <w:tabs>
          <w:tab w:val="left" w:pos="567"/>
        </w:tabs>
        <w:rPr>
          <w:b/>
        </w:rPr>
      </w:pPr>
    </w:p>
    <w:p w:rsidR="00C413EA" w:rsidRPr="00062BEA" w:rsidRDefault="00E82015" w:rsidP="00C413EA">
      <w:pPr>
        <w:spacing w:line="259" w:lineRule="auto"/>
        <w:rPr>
          <w:rFonts w:eastAsia="Gill Sans MT" w:cs="Arial"/>
          <w:szCs w:val="22"/>
        </w:rPr>
      </w:pPr>
      <w:r>
        <w:t xml:space="preserve">14.1 Appendix 1: </w:t>
      </w:r>
      <w:bookmarkStart w:id="0" w:name="_GoBack"/>
      <w:bookmarkEnd w:id="0"/>
      <w:r w:rsidR="00C413EA" w:rsidRPr="00062BEA">
        <w:rPr>
          <w:rFonts w:eastAsia="Gill Sans MT" w:cs="Arial"/>
          <w:szCs w:val="22"/>
        </w:rPr>
        <w:t>Extract from the applicant’s document entitled “Pickering’s Farm, Penwortham,</w:t>
      </w:r>
    </w:p>
    <w:p w:rsidR="00C413EA" w:rsidRPr="00062BEA" w:rsidRDefault="00C413EA" w:rsidP="00C413EA">
      <w:pPr>
        <w:spacing w:line="259" w:lineRule="auto"/>
        <w:ind w:hanging="10"/>
        <w:rPr>
          <w:rFonts w:eastAsia="Gill Sans MT" w:cs="Arial"/>
          <w:szCs w:val="22"/>
        </w:rPr>
      </w:pPr>
      <w:r w:rsidRPr="00062BEA">
        <w:rPr>
          <w:rFonts w:eastAsia="Gill Sans MT" w:cs="Arial"/>
          <w:szCs w:val="22"/>
        </w:rPr>
        <w:t>Statement of Community Consultation Phase 1&amp;2.”</w:t>
      </w:r>
    </w:p>
    <w:p w:rsidR="001C5E49" w:rsidRDefault="001C5E49" w:rsidP="001C5E49">
      <w:pPr>
        <w:tabs>
          <w:tab w:val="left" w:pos="2839"/>
        </w:tabs>
        <w:ind w:left="426" w:hanging="426"/>
        <w:rPr>
          <w:rFonts w:cs="Arial"/>
          <w:i/>
          <w:color w:val="2E74B5"/>
        </w:rPr>
      </w:pPr>
    </w:p>
    <w:p w:rsidR="00BD4A5F" w:rsidRPr="007F1945" w:rsidRDefault="00BD4A5F"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038"/>
        <w:gridCol w:w="2350"/>
      </w:tblGrid>
      <w:tr w:rsidR="001C5E49" w:rsidTr="00BD4A5F">
        <w:tc>
          <w:tcPr>
            <w:tcW w:w="5132" w:type="dxa"/>
            <w:shd w:val="clear" w:color="auto" w:fill="auto"/>
          </w:tcPr>
          <w:p w:rsidR="00BD4A5F" w:rsidRPr="0031059E" w:rsidRDefault="001C5E49" w:rsidP="00E2196F">
            <w:pPr>
              <w:rPr>
                <w:rFonts w:cs="Arial"/>
              </w:rPr>
            </w:pPr>
            <w:r w:rsidRPr="0031059E">
              <w:rPr>
                <w:rFonts w:cs="Arial"/>
              </w:rPr>
              <w:t>Report Author</w:t>
            </w:r>
            <w:r w:rsidR="00D11A8A">
              <w:rPr>
                <w:rFonts w:cs="Arial"/>
              </w:rPr>
              <w:t>s</w:t>
            </w:r>
            <w:r w:rsidRPr="0031059E">
              <w:rPr>
                <w:rFonts w:cs="Arial"/>
              </w:rPr>
              <w:t>:</w:t>
            </w:r>
          </w:p>
        </w:tc>
        <w:tc>
          <w:tcPr>
            <w:tcW w:w="2038" w:type="dxa"/>
            <w:shd w:val="clear" w:color="auto" w:fill="auto"/>
          </w:tcPr>
          <w:p w:rsidR="001C5E49" w:rsidRPr="0031059E" w:rsidRDefault="001C5E49" w:rsidP="00E2196F">
            <w:pPr>
              <w:rPr>
                <w:rFonts w:cs="Arial"/>
              </w:rPr>
            </w:pPr>
            <w:r w:rsidRPr="0031059E">
              <w:rPr>
                <w:rFonts w:cs="Arial"/>
              </w:rPr>
              <w:t>Telephone:</w:t>
            </w:r>
          </w:p>
        </w:tc>
        <w:tc>
          <w:tcPr>
            <w:tcW w:w="2350" w:type="dxa"/>
            <w:shd w:val="clear" w:color="auto" w:fill="auto"/>
          </w:tcPr>
          <w:p w:rsidR="001C5E49" w:rsidRPr="0031059E" w:rsidRDefault="001C5E49" w:rsidP="00E2196F">
            <w:pPr>
              <w:rPr>
                <w:rFonts w:cs="Arial"/>
              </w:rPr>
            </w:pPr>
            <w:r w:rsidRPr="0031059E">
              <w:rPr>
                <w:rFonts w:cs="Arial"/>
              </w:rPr>
              <w:t>Date:</w:t>
            </w:r>
          </w:p>
        </w:tc>
      </w:tr>
      <w:tr w:rsidR="00C903AC" w:rsidTr="00BD4A5F">
        <w:tc>
          <w:tcPr>
            <w:tcW w:w="5132" w:type="dxa"/>
            <w:shd w:val="clear" w:color="auto" w:fill="auto"/>
          </w:tcPr>
          <w:p w:rsidR="00C903AC" w:rsidRDefault="00BD4A5F" w:rsidP="00C903AC">
            <w:pPr>
              <w:rPr>
                <w:rFonts w:cs="Arial"/>
              </w:rPr>
            </w:pPr>
            <w:r>
              <w:rPr>
                <w:rFonts w:cs="Arial"/>
              </w:rPr>
              <w:t>Janice Crook, Planning Officer</w:t>
            </w:r>
          </w:p>
          <w:p w:rsidR="00B0522A" w:rsidRPr="00BD4A5F" w:rsidRDefault="00B0522A" w:rsidP="00C903AC">
            <w:pPr>
              <w:rPr>
                <w:rFonts w:cs="Arial"/>
              </w:rPr>
            </w:pPr>
            <w:r>
              <w:rPr>
                <w:rFonts w:cs="Arial"/>
              </w:rPr>
              <w:t xml:space="preserve">Catherine Lewis Planning Officer </w:t>
            </w:r>
          </w:p>
          <w:p w:rsidR="00C903AC" w:rsidRPr="0031059E" w:rsidRDefault="00C903AC" w:rsidP="00C903AC">
            <w:pPr>
              <w:ind w:left="-539" w:firstLine="539"/>
              <w:rPr>
                <w:rFonts w:cs="Arial"/>
              </w:rPr>
            </w:pPr>
          </w:p>
        </w:tc>
        <w:tc>
          <w:tcPr>
            <w:tcW w:w="2038" w:type="dxa"/>
            <w:shd w:val="clear" w:color="auto" w:fill="auto"/>
          </w:tcPr>
          <w:p w:rsidR="00C903AC" w:rsidRDefault="00BD4A5F" w:rsidP="00C903AC">
            <w:pPr>
              <w:rPr>
                <w:rFonts w:cs="Arial"/>
              </w:rPr>
            </w:pPr>
            <w:r>
              <w:rPr>
                <w:rFonts w:cs="Arial"/>
              </w:rPr>
              <w:t>01772 625413</w:t>
            </w:r>
          </w:p>
          <w:p w:rsidR="00B0522A" w:rsidRPr="0031059E" w:rsidRDefault="00B0522A" w:rsidP="00C903AC">
            <w:pPr>
              <w:rPr>
                <w:rFonts w:cs="Arial"/>
              </w:rPr>
            </w:pPr>
            <w:r>
              <w:rPr>
                <w:rFonts w:cs="Arial"/>
              </w:rPr>
              <w:t>01772 625411</w:t>
            </w:r>
          </w:p>
        </w:tc>
        <w:tc>
          <w:tcPr>
            <w:tcW w:w="2350" w:type="dxa"/>
            <w:shd w:val="clear" w:color="auto" w:fill="auto"/>
          </w:tcPr>
          <w:p w:rsidR="004872CE" w:rsidRDefault="004872CE" w:rsidP="00C903AC">
            <w:pPr>
              <w:rPr>
                <w:rFonts w:cs="Arial"/>
              </w:rPr>
            </w:pPr>
          </w:p>
          <w:p w:rsidR="00C903AC" w:rsidRPr="0031059E" w:rsidRDefault="004872CE" w:rsidP="00C903AC">
            <w:pPr>
              <w:rPr>
                <w:rFonts w:cs="Arial"/>
              </w:rPr>
            </w:pPr>
            <w:r>
              <w:rPr>
                <w:rFonts w:cs="Arial"/>
              </w:rPr>
              <w:t>29.10.2018</w:t>
            </w:r>
          </w:p>
        </w:tc>
      </w:tr>
    </w:tbl>
    <w:p w:rsidR="001C5E49" w:rsidRDefault="001C5E49" w:rsidP="001C5E49">
      <w:pPr>
        <w:tabs>
          <w:tab w:val="left" w:pos="2839"/>
        </w:tabs>
        <w:rPr>
          <w:rFonts w:cs="Arial"/>
        </w:rPr>
      </w:pPr>
    </w:p>
    <w:p w:rsidR="009A68A1" w:rsidRPr="00566E37" w:rsidRDefault="009A68A1" w:rsidP="009A68A1">
      <w:pPr>
        <w:tabs>
          <w:tab w:val="left" w:pos="2839"/>
        </w:tabs>
        <w:rPr>
          <w:rFonts w:cs="Arial"/>
        </w:rPr>
      </w:pPr>
    </w:p>
    <w:sectPr w:rsidR="009A68A1" w:rsidRPr="00566E37" w:rsidSect="00E971A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403" w:rsidRDefault="00BB5403">
      <w:r>
        <w:separator/>
      </w:r>
    </w:p>
  </w:endnote>
  <w:endnote w:type="continuationSeparator" w:id="0">
    <w:p w:rsidR="00BB5403" w:rsidRDefault="00BB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8F" w:rsidRDefault="00894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62" w:rsidRPr="00FD7B65" w:rsidRDefault="00F12162">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E82015">
      <w:rPr>
        <w:noProof/>
        <w:sz w:val="24"/>
      </w:rPr>
      <w:t>4</w:t>
    </w:r>
    <w:r w:rsidRPr="00FD7B65">
      <w:rPr>
        <w:noProof/>
        <w:sz w:val="24"/>
      </w:rPr>
      <w:fldChar w:fldCharType="end"/>
    </w:r>
  </w:p>
  <w:p w:rsidR="00F12162" w:rsidRDefault="00F121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8F" w:rsidRDefault="00894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403" w:rsidRDefault="00BB5403">
      <w:r>
        <w:separator/>
      </w:r>
    </w:p>
  </w:footnote>
  <w:footnote w:type="continuationSeparator" w:id="0">
    <w:p w:rsidR="00BB5403" w:rsidRDefault="00BB5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8F" w:rsidRDefault="00894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8F" w:rsidRDefault="00894E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8F" w:rsidRDefault="00894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F113C"/>
    <w:multiLevelType w:val="hybridMultilevel"/>
    <w:tmpl w:val="FACCEB26"/>
    <w:lvl w:ilvl="0" w:tplc="D680A4E2">
      <w:numFmt w:val="bullet"/>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2251EC6"/>
    <w:multiLevelType w:val="hybridMultilevel"/>
    <w:tmpl w:val="8AB492BE"/>
    <w:lvl w:ilvl="0" w:tplc="2EE68638">
      <w:start w:val="1"/>
      <w:numFmt w:val="bullet"/>
      <w:lvlText w:val=""/>
      <w:lvlJc w:val="left"/>
      <w:pPr>
        <w:ind w:left="36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1" w:tplc="9B5ED080">
      <w:start w:val="1"/>
      <w:numFmt w:val="bullet"/>
      <w:lvlText w:val="o"/>
      <w:lvlJc w:val="left"/>
      <w:pPr>
        <w:ind w:left="108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2" w:tplc="471EC2EE">
      <w:start w:val="1"/>
      <w:numFmt w:val="bullet"/>
      <w:lvlText w:val="▪"/>
      <w:lvlJc w:val="left"/>
      <w:pPr>
        <w:ind w:left="180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3" w:tplc="BBF6548C">
      <w:start w:val="1"/>
      <w:numFmt w:val="bullet"/>
      <w:lvlText w:val="•"/>
      <w:lvlJc w:val="left"/>
      <w:pPr>
        <w:ind w:left="252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4" w:tplc="E76CAA28">
      <w:start w:val="1"/>
      <w:numFmt w:val="bullet"/>
      <w:lvlText w:val="o"/>
      <w:lvlJc w:val="left"/>
      <w:pPr>
        <w:ind w:left="324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5" w:tplc="4462DA98">
      <w:start w:val="1"/>
      <w:numFmt w:val="bullet"/>
      <w:lvlText w:val="▪"/>
      <w:lvlJc w:val="left"/>
      <w:pPr>
        <w:ind w:left="396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6" w:tplc="92DEDB8A">
      <w:start w:val="1"/>
      <w:numFmt w:val="bullet"/>
      <w:lvlText w:val="•"/>
      <w:lvlJc w:val="left"/>
      <w:pPr>
        <w:ind w:left="468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7" w:tplc="C220DC16">
      <w:start w:val="1"/>
      <w:numFmt w:val="bullet"/>
      <w:lvlText w:val="o"/>
      <w:lvlJc w:val="left"/>
      <w:pPr>
        <w:ind w:left="540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8" w:tplc="DEDC5298">
      <w:start w:val="1"/>
      <w:numFmt w:val="bullet"/>
      <w:lvlText w:val="▪"/>
      <w:lvlJc w:val="left"/>
      <w:pPr>
        <w:ind w:left="612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52605E"/>
    <w:multiLevelType w:val="hybridMultilevel"/>
    <w:tmpl w:val="57A26E92"/>
    <w:lvl w:ilvl="0" w:tplc="011CE47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5"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C1FC0"/>
    <w:multiLevelType w:val="hybridMultilevel"/>
    <w:tmpl w:val="6160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26730"/>
    <w:multiLevelType w:val="hybridMultilevel"/>
    <w:tmpl w:val="EFAEAA28"/>
    <w:lvl w:ilvl="0" w:tplc="39C49B68">
      <w:start w:val="1"/>
      <w:numFmt w:val="bullet"/>
      <w:lvlText w:val=""/>
      <w:lvlJc w:val="left"/>
      <w:pPr>
        <w:ind w:left="36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1" w:tplc="7F6CF52C">
      <w:start w:val="1"/>
      <w:numFmt w:val="bullet"/>
      <w:lvlText w:val="o"/>
      <w:lvlJc w:val="left"/>
      <w:pPr>
        <w:ind w:left="108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2" w:tplc="2200A5B8">
      <w:start w:val="1"/>
      <w:numFmt w:val="bullet"/>
      <w:lvlText w:val="▪"/>
      <w:lvlJc w:val="left"/>
      <w:pPr>
        <w:ind w:left="180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3" w:tplc="37A40E08">
      <w:start w:val="1"/>
      <w:numFmt w:val="bullet"/>
      <w:lvlText w:val="•"/>
      <w:lvlJc w:val="left"/>
      <w:pPr>
        <w:ind w:left="252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4" w:tplc="CF7C58DC">
      <w:start w:val="1"/>
      <w:numFmt w:val="bullet"/>
      <w:lvlText w:val="o"/>
      <w:lvlJc w:val="left"/>
      <w:pPr>
        <w:ind w:left="324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5" w:tplc="4A0AD2E0">
      <w:start w:val="1"/>
      <w:numFmt w:val="bullet"/>
      <w:lvlText w:val="▪"/>
      <w:lvlJc w:val="left"/>
      <w:pPr>
        <w:ind w:left="396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6" w:tplc="89D675FE">
      <w:start w:val="1"/>
      <w:numFmt w:val="bullet"/>
      <w:lvlText w:val="•"/>
      <w:lvlJc w:val="left"/>
      <w:pPr>
        <w:ind w:left="468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7" w:tplc="35BCECFC">
      <w:start w:val="1"/>
      <w:numFmt w:val="bullet"/>
      <w:lvlText w:val="o"/>
      <w:lvlJc w:val="left"/>
      <w:pPr>
        <w:ind w:left="540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8" w:tplc="0F9C184A">
      <w:start w:val="1"/>
      <w:numFmt w:val="bullet"/>
      <w:lvlText w:val="▪"/>
      <w:lvlJc w:val="left"/>
      <w:pPr>
        <w:ind w:left="612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abstractNum>
  <w:abstractNum w:abstractNumId="19"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2"/>
  </w:num>
  <w:num w:numId="2">
    <w:abstractNumId w:val="15"/>
  </w:num>
  <w:num w:numId="3">
    <w:abstractNumId w:val="16"/>
  </w:num>
  <w:num w:numId="4">
    <w:abstractNumId w:val="10"/>
  </w:num>
  <w:num w:numId="5">
    <w:abstractNumId w:val="13"/>
  </w:num>
  <w:num w:numId="6">
    <w:abstractNumId w:val="7"/>
  </w:num>
  <w:num w:numId="7">
    <w:abstractNumId w:val="5"/>
  </w:num>
  <w:num w:numId="8">
    <w:abstractNumId w:val="6"/>
  </w:num>
  <w:num w:numId="9">
    <w:abstractNumId w:val="1"/>
  </w:num>
  <w:num w:numId="10">
    <w:abstractNumId w:val="3"/>
  </w:num>
  <w:num w:numId="11">
    <w:abstractNumId w:val="4"/>
  </w:num>
  <w:num w:numId="12">
    <w:abstractNumId w:val="11"/>
  </w:num>
  <w:num w:numId="13">
    <w:abstractNumId w:val="0"/>
  </w:num>
  <w:num w:numId="14">
    <w:abstractNumId w:val="19"/>
  </w:num>
  <w:num w:numId="15">
    <w:abstractNumId w:val="8"/>
  </w:num>
  <w:num w:numId="16">
    <w:abstractNumId w:val="14"/>
  </w:num>
  <w:num w:numId="17">
    <w:abstractNumId w:val="18"/>
  </w:num>
  <w:num w:numId="18">
    <w:abstractNumId w:val="9"/>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4224A"/>
    <w:rsid w:val="00047686"/>
    <w:rsid w:val="00062BEA"/>
    <w:rsid w:val="000B5251"/>
    <w:rsid w:val="000D6163"/>
    <w:rsid w:val="000E10FE"/>
    <w:rsid w:val="000F2C8A"/>
    <w:rsid w:val="0010377A"/>
    <w:rsid w:val="00123D71"/>
    <w:rsid w:val="00124CE1"/>
    <w:rsid w:val="001544DD"/>
    <w:rsid w:val="001547EA"/>
    <w:rsid w:val="00155874"/>
    <w:rsid w:val="001560BE"/>
    <w:rsid w:val="00171758"/>
    <w:rsid w:val="00181E9F"/>
    <w:rsid w:val="00184E1D"/>
    <w:rsid w:val="001938D6"/>
    <w:rsid w:val="001C5E49"/>
    <w:rsid w:val="00210AF7"/>
    <w:rsid w:val="00216C95"/>
    <w:rsid w:val="002221BD"/>
    <w:rsid w:val="002328B3"/>
    <w:rsid w:val="00246381"/>
    <w:rsid w:val="0025591B"/>
    <w:rsid w:val="002820A5"/>
    <w:rsid w:val="002878D0"/>
    <w:rsid w:val="002C43B0"/>
    <w:rsid w:val="002E4FF4"/>
    <w:rsid w:val="002F5C5E"/>
    <w:rsid w:val="00342AB1"/>
    <w:rsid w:val="00345C71"/>
    <w:rsid w:val="00386AAD"/>
    <w:rsid w:val="00387008"/>
    <w:rsid w:val="003902A2"/>
    <w:rsid w:val="00392AAE"/>
    <w:rsid w:val="003A1B3F"/>
    <w:rsid w:val="003A23D3"/>
    <w:rsid w:val="003A2919"/>
    <w:rsid w:val="003B0938"/>
    <w:rsid w:val="003B1D7F"/>
    <w:rsid w:val="003B1E6D"/>
    <w:rsid w:val="003C147E"/>
    <w:rsid w:val="003C36EB"/>
    <w:rsid w:val="003E22B9"/>
    <w:rsid w:val="003E33E6"/>
    <w:rsid w:val="003F0783"/>
    <w:rsid w:val="003F5603"/>
    <w:rsid w:val="00405D4A"/>
    <w:rsid w:val="00410807"/>
    <w:rsid w:val="004218EA"/>
    <w:rsid w:val="00442C46"/>
    <w:rsid w:val="00457A47"/>
    <w:rsid w:val="00460561"/>
    <w:rsid w:val="00463AB0"/>
    <w:rsid w:val="00474DA8"/>
    <w:rsid w:val="004765AD"/>
    <w:rsid w:val="0047741D"/>
    <w:rsid w:val="004853E8"/>
    <w:rsid w:val="004865A0"/>
    <w:rsid w:val="004872CE"/>
    <w:rsid w:val="004A19EA"/>
    <w:rsid w:val="004A45D4"/>
    <w:rsid w:val="004D7260"/>
    <w:rsid w:val="004F23B3"/>
    <w:rsid w:val="005041BB"/>
    <w:rsid w:val="00525728"/>
    <w:rsid w:val="00533525"/>
    <w:rsid w:val="00544277"/>
    <w:rsid w:val="0054711E"/>
    <w:rsid w:val="00547120"/>
    <w:rsid w:val="00547481"/>
    <w:rsid w:val="00566622"/>
    <w:rsid w:val="00566E37"/>
    <w:rsid w:val="00576A82"/>
    <w:rsid w:val="005934B2"/>
    <w:rsid w:val="005A26AD"/>
    <w:rsid w:val="005B0C36"/>
    <w:rsid w:val="005C0DB8"/>
    <w:rsid w:val="005D4F59"/>
    <w:rsid w:val="00602C27"/>
    <w:rsid w:val="0060374B"/>
    <w:rsid w:val="0060655E"/>
    <w:rsid w:val="00630F86"/>
    <w:rsid w:val="00633396"/>
    <w:rsid w:val="00643B42"/>
    <w:rsid w:val="00645A0B"/>
    <w:rsid w:val="006555E6"/>
    <w:rsid w:val="00670BE0"/>
    <w:rsid w:val="0067396B"/>
    <w:rsid w:val="006879CA"/>
    <w:rsid w:val="006B3447"/>
    <w:rsid w:val="006B645E"/>
    <w:rsid w:val="006B7116"/>
    <w:rsid w:val="006C04C1"/>
    <w:rsid w:val="006C209A"/>
    <w:rsid w:val="006D5FF0"/>
    <w:rsid w:val="006E09FB"/>
    <w:rsid w:val="006F2214"/>
    <w:rsid w:val="006F352B"/>
    <w:rsid w:val="006F76A3"/>
    <w:rsid w:val="00707E99"/>
    <w:rsid w:val="00712E3F"/>
    <w:rsid w:val="00722A86"/>
    <w:rsid w:val="00723E9B"/>
    <w:rsid w:val="00772B9C"/>
    <w:rsid w:val="00780FF2"/>
    <w:rsid w:val="00792A2B"/>
    <w:rsid w:val="007F29CF"/>
    <w:rsid w:val="00814028"/>
    <w:rsid w:val="0086757C"/>
    <w:rsid w:val="008828ED"/>
    <w:rsid w:val="00887365"/>
    <w:rsid w:val="008911CB"/>
    <w:rsid w:val="00893AD2"/>
    <w:rsid w:val="00894E8F"/>
    <w:rsid w:val="008A2F6B"/>
    <w:rsid w:val="008A3225"/>
    <w:rsid w:val="008A42E3"/>
    <w:rsid w:val="008A77AB"/>
    <w:rsid w:val="008B41C5"/>
    <w:rsid w:val="008C3B1A"/>
    <w:rsid w:val="008D623F"/>
    <w:rsid w:val="008E4DD1"/>
    <w:rsid w:val="008F4B91"/>
    <w:rsid w:val="0090542C"/>
    <w:rsid w:val="009350CB"/>
    <w:rsid w:val="009538AE"/>
    <w:rsid w:val="00980267"/>
    <w:rsid w:val="00983CD5"/>
    <w:rsid w:val="00992E79"/>
    <w:rsid w:val="009A68A1"/>
    <w:rsid w:val="009A714A"/>
    <w:rsid w:val="009B05BF"/>
    <w:rsid w:val="009C1143"/>
    <w:rsid w:val="009E48E0"/>
    <w:rsid w:val="00A1406A"/>
    <w:rsid w:val="00A22D02"/>
    <w:rsid w:val="00A30426"/>
    <w:rsid w:val="00A4702E"/>
    <w:rsid w:val="00A50754"/>
    <w:rsid w:val="00A5107E"/>
    <w:rsid w:val="00A56681"/>
    <w:rsid w:val="00A76482"/>
    <w:rsid w:val="00AC39E0"/>
    <w:rsid w:val="00AC4A99"/>
    <w:rsid w:val="00B0522A"/>
    <w:rsid w:val="00B05FE8"/>
    <w:rsid w:val="00B1788B"/>
    <w:rsid w:val="00B443DD"/>
    <w:rsid w:val="00B51DB8"/>
    <w:rsid w:val="00B62D79"/>
    <w:rsid w:val="00B65997"/>
    <w:rsid w:val="00B70B91"/>
    <w:rsid w:val="00B716F5"/>
    <w:rsid w:val="00B71A04"/>
    <w:rsid w:val="00B72A06"/>
    <w:rsid w:val="00B766C4"/>
    <w:rsid w:val="00B87522"/>
    <w:rsid w:val="00B92298"/>
    <w:rsid w:val="00BA2606"/>
    <w:rsid w:val="00BB5403"/>
    <w:rsid w:val="00BC6635"/>
    <w:rsid w:val="00BD4A5F"/>
    <w:rsid w:val="00BE2A3F"/>
    <w:rsid w:val="00BF0A2E"/>
    <w:rsid w:val="00C022F9"/>
    <w:rsid w:val="00C209E3"/>
    <w:rsid w:val="00C30128"/>
    <w:rsid w:val="00C40AE6"/>
    <w:rsid w:val="00C413EA"/>
    <w:rsid w:val="00C50EB2"/>
    <w:rsid w:val="00C52450"/>
    <w:rsid w:val="00C64ED1"/>
    <w:rsid w:val="00C66BAA"/>
    <w:rsid w:val="00C903AC"/>
    <w:rsid w:val="00CA78EA"/>
    <w:rsid w:val="00CB32DF"/>
    <w:rsid w:val="00CC3246"/>
    <w:rsid w:val="00CE3DA1"/>
    <w:rsid w:val="00CE4482"/>
    <w:rsid w:val="00CF6B60"/>
    <w:rsid w:val="00CF7E95"/>
    <w:rsid w:val="00D03328"/>
    <w:rsid w:val="00D11A8A"/>
    <w:rsid w:val="00D20FAC"/>
    <w:rsid w:val="00D25329"/>
    <w:rsid w:val="00D36638"/>
    <w:rsid w:val="00D37BAE"/>
    <w:rsid w:val="00D44196"/>
    <w:rsid w:val="00D772AB"/>
    <w:rsid w:val="00D83A33"/>
    <w:rsid w:val="00D90A00"/>
    <w:rsid w:val="00D91845"/>
    <w:rsid w:val="00D9371C"/>
    <w:rsid w:val="00D956E6"/>
    <w:rsid w:val="00DA1588"/>
    <w:rsid w:val="00DA7DC4"/>
    <w:rsid w:val="00DB09B7"/>
    <w:rsid w:val="00DB3FD0"/>
    <w:rsid w:val="00DC6696"/>
    <w:rsid w:val="00DC7469"/>
    <w:rsid w:val="00DD404E"/>
    <w:rsid w:val="00DE5E12"/>
    <w:rsid w:val="00E14CBF"/>
    <w:rsid w:val="00E2196F"/>
    <w:rsid w:val="00E2276E"/>
    <w:rsid w:val="00E369B9"/>
    <w:rsid w:val="00E41950"/>
    <w:rsid w:val="00E5380C"/>
    <w:rsid w:val="00E569CB"/>
    <w:rsid w:val="00E577A2"/>
    <w:rsid w:val="00E60A53"/>
    <w:rsid w:val="00E63940"/>
    <w:rsid w:val="00E7121A"/>
    <w:rsid w:val="00E733A5"/>
    <w:rsid w:val="00E753EC"/>
    <w:rsid w:val="00E82015"/>
    <w:rsid w:val="00E84459"/>
    <w:rsid w:val="00E971A2"/>
    <w:rsid w:val="00EB2D32"/>
    <w:rsid w:val="00EB7C94"/>
    <w:rsid w:val="00ED257A"/>
    <w:rsid w:val="00EF7617"/>
    <w:rsid w:val="00F12162"/>
    <w:rsid w:val="00F3057A"/>
    <w:rsid w:val="00F30E9C"/>
    <w:rsid w:val="00F43895"/>
    <w:rsid w:val="00F55E4D"/>
    <w:rsid w:val="00F61752"/>
    <w:rsid w:val="00F67F95"/>
    <w:rsid w:val="00F759B2"/>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28756">
      <w:bodyDiv w:val="1"/>
      <w:marLeft w:val="0"/>
      <w:marRight w:val="0"/>
      <w:marTop w:val="0"/>
      <w:marBottom w:val="0"/>
      <w:divBdr>
        <w:top w:val="none" w:sz="0" w:space="0" w:color="auto"/>
        <w:left w:val="none" w:sz="0" w:space="0" w:color="auto"/>
        <w:bottom w:val="none" w:sz="0" w:space="0" w:color="auto"/>
        <w:right w:val="none" w:sz="0" w:space="0" w:color="auto"/>
      </w:divBdr>
    </w:div>
    <w:div w:id="552622675">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629290405">
      <w:bodyDiv w:val="1"/>
      <w:marLeft w:val="0"/>
      <w:marRight w:val="0"/>
      <w:marTop w:val="0"/>
      <w:marBottom w:val="0"/>
      <w:divBdr>
        <w:top w:val="none" w:sz="0" w:space="0" w:color="auto"/>
        <w:left w:val="none" w:sz="0" w:space="0" w:color="auto"/>
        <w:bottom w:val="none" w:sz="0" w:space="0" w:color="auto"/>
        <w:right w:val="none" w:sz="0" w:space="0" w:color="auto"/>
      </w:divBdr>
    </w:div>
    <w:div w:id="7118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CC89B-E1F2-4AAB-A6D8-468386A5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94</TotalTime>
  <Pages>4</Pages>
  <Words>1172</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83</cp:revision>
  <cp:lastPrinted>2018-10-29T16:03:00Z</cp:lastPrinted>
  <dcterms:created xsi:type="dcterms:W3CDTF">2018-10-18T15:39:00Z</dcterms:created>
  <dcterms:modified xsi:type="dcterms:W3CDTF">2018-10-30T10:06:00Z</dcterms:modified>
</cp:coreProperties>
</file>